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4486" w14:textId="3C27FECC" w:rsidR="00E91762" w:rsidRPr="00B52883" w:rsidRDefault="00F006E2" w:rsidP="00B52883">
      <w:pPr>
        <w:jc w:val="center"/>
        <w:rPr>
          <w:rFonts w:ascii="Calibri" w:hAnsi="Calibri" w:cs="Calibri"/>
          <w:color w:val="000000"/>
          <w:sz w:val="24"/>
          <w:szCs w:val="24"/>
          <w:lang w:val="en-US"/>
        </w:rPr>
      </w:pPr>
      <w:r w:rsidRPr="00B52883">
        <w:rPr>
          <w:rFonts w:ascii="Calibri" w:hAnsi="Calibri" w:cs="Calibri"/>
          <w:color w:val="000000"/>
          <w:sz w:val="24"/>
          <w:szCs w:val="24"/>
          <w:lang w:val="en-US"/>
        </w:rPr>
        <w:t>NOR in NORM: naturally occurring radionuclides in naturally occurring radioactive materials – characteristics, principles of measurement organization, and interpretation of measurement results</w:t>
      </w:r>
    </w:p>
    <w:p w14:paraId="30518CC9" w14:textId="0AA9044C" w:rsidR="0090036D" w:rsidRDefault="00635365" w:rsidP="00C25F5A">
      <w:pPr>
        <w:jc w:val="center"/>
        <w:rPr>
          <w:rFonts w:ascii="Calibri" w:hAnsi="Calibri" w:cs="Calibri"/>
          <w:color w:val="000000"/>
          <w:lang w:val="en-US"/>
        </w:rPr>
      </w:pPr>
      <w:r w:rsidRPr="00635365">
        <w:rPr>
          <w:rFonts w:ascii="Calibri" w:hAnsi="Calibri" w:cs="Calibri"/>
          <w:color w:val="000000"/>
          <w:lang w:val="en-US"/>
        </w:rPr>
        <w:t>Boguslaw Michalik</w:t>
      </w:r>
    </w:p>
    <w:p w14:paraId="27F99E93" w14:textId="0FAC4C61" w:rsidR="00B52883" w:rsidRPr="00635365" w:rsidRDefault="00635365" w:rsidP="00C25F5A">
      <w:pPr>
        <w:jc w:val="center"/>
        <w:rPr>
          <w:rFonts w:ascii="Calibri" w:hAnsi="Calibri" w:cs="Calibri"/>
          <w:color w:val="000000"/>
          <w:lang w:val="en-US"/>
        </w:rPr>
      </w:pPr>
      <w:r w:rsidRPr="00635365">
        <w:rPr>
          <w:rFonts w:ascii="Calibri" w:hAnsi="Calibri" w:cs="Calibri"/>
          <w:color w:val="000000"/>
          <w:lang w:val="en-US"/>
        </w:rPr>
        <w:t>Silesian Cent</w:t>
      </w:r>
      <w:r>
        <w:rPr>
          <w:rFonts w:ascii="Calibri" w:hAnsi="Calibri" w:cs="Calibri"/>
          <w:color w:val="000000"/>
          <w:lang w:val="en-US"/>
        </w:rPr>
        <w:t xml:space="preserve">re for </w:t>
      </w:r>
      <w:r w:rsidR="0090036D">
        <w:rPr>
          <w:rFonts w:ascii="Calibri" w:hAnsi="Calibri" w:cs="Calibri"/>
          <w:color w:val="000000"/>
          <w:lang w:val="en-US"/>
        </w:rPr>
        <w:t>Environmental</w:t>
      </w:r>
      <w:r>
        <w:rPr>
          <w:rFonts w:ascii="Calibri" w:hAnsi="Calibri" w:cs="Calibri"/>
          <w:color w:val="000000"/>
          <w:lang w:val="en-US"/>
        </w:rPr>
        <w:t xml:space="preserve"> Radioactivity</w:t>
      </w:r>
      <w:r w:rsidR="0090036D">
        <w:rPr>
          <w:rFonts w:ascii="Calibri" w:hAnsi="Calibri" w:cs="Calibri"/>
          <w:color w:val="000000"/>
          <w:lang w:val="en-US"/>
        </w:rPr>
        <w:t xml:space="preserve">, Central Mining Institute - National </w:t>
      </w:r>
      <w:r w:rsidR="00C25F5A">
        <w:rPr>
          <w:rFonts w:ascii="Calibri" w:hAnsi="Calibri" w:cs="Calibri"/>
          <w:color w:val="000000"/>
          <w:lang w:val="en-US"/>
        </w:rPr>
        <w:t>Research</w:t>
      </w:r>
      <w:r w:rsidR="0090036D">
        <w:rPr>
          <w:rFonts w:ascii="Calibri" w:hAnsi="Calibri" w:cs="Calibri"/>
          <w:color w:val="000000"/>
          <w:lang w:val="en-US"/>
        </w:rPr>
        <w:t xml:space="preserve"> Institute, Katowice, Poland</w:t>
      </w:r>
    </w:p>
    <w:p w14:paraId="3DD64A7E" w14:textId="77777777" w:rsidR="00BE168B" w:rsidRPr="00C60DE8" w:rsidRDefault="00BE168B" w:rsidP="00952838">
      <w:pPr>
        <w:jc w:val="both"/>
        <w:rPr>
          <w:rFonts w:ascii="Calibri" w:hAnsi="Calibri" w:cs="Calibri"/>
          <w:color w:val="000000"/>
          <w:lang w:val="en-US"/>
        </w:rPr>
      </w:pPr>
      <w:r w:rsidRPr="00C60DE8">
        <w:rPr>
          <w:rFonts w:ascii="Calibri" w:hAnsi="Calibri" w:cs="Calibri"/>
          <w:color w:val="000000"/>
          <w:lang w:val="en-US"/>
        </w:rPr>
        <w:t>NORM-related activities encompass a wide range of industries that result in human exposure to radiation and generate substantial solid residues, as well as gaseous and liquid effluents often containing particulate matter. These materials are then subjected to environmental factors and affect various biota. While these residues share similarities with industrial waste, they consistently contain natural radionuclides undergoing radioactive decay, leading to the formation of isotopes of diverse elements and often coexisting with additional contaminants, thereby creating complex exposure scenarios.</w:t>
      </w:r>
    </w:p>
    <w:p w14:paraId="5771EB4C" w14:textId="1546330F" w:rsidR="00E76A9C" w:rsidRDefault="008E32C4" w:rsidP="00952838">
      <w:pPr>
        <w:jc w:val="both"/>
        <w:rPr>
          <w:rFonts w:ascii="Calibri" w:hAnsi="Calibri" w:cs="Calibri"/>
          <w:color w:val="000000"/>
          <w:lang w:val="en-US"/>
        </w:rPr>
      </w:pPr>
      <w:r w:rsidRPr="008E32C4">
        <w:rPr>
          <w:rFonts w:ascii="Calibri" w:hAnsi="Calibri" w:cs="Calibri"/>
          <w:color w:val="000000"/>
          <w:lang w:val="en-US"/>
        </w:rPr>
        <w:t xml:space="preserve">Radionuclides from decay series commonly exist together in both NORM and environmental samples, making data analysis more challenging than with artificial radionuclides. </w:t>
      </w:r>
      <w:r w:rsidR="00EF3367">
        <w:rPr>
          <w:rFonts w:ascii="Calibri" w:hAnsi="Calibri" w:cs="Calibri"/>
          <w:color w:val="000000"/>
          <w:lang w:val="en-US"/>
        </w:rPr>
        <w:t>Existing r</w:t>
      </w:r>
      <w:r w:rsidRPr="008E32C4">
        <w:rPr>
          <w:rFonts w:ascii="Calibri" w:hAnsi="Calibri" w:cs="Calibri"/>
          <w:color w:val="000000"/>
          <w:lang w:val="en-US"/>
        </w:rPr>
        <w:t>egulations mainly target parent radionuclides U-238 and Th-232</w:t>
      </w:r>
      <w:r w:rsidR="00C43D36">
        <w:rPr>
          <w:rFonts w:ascii="Calibri" w:hAnsi="Calibri" w:cs="Calibri"/>
          <w:color w:val="000000"/>
          <w:lang w:val="en-US"/>
        </w:rPr>
        <w:t>,</w:t>
      </w:r>
      <w:r w:rsidR="00BF43C6">
        <w:rPr>
          <w:rFonts w:ascii="Calibri" w:hAnsi="Calibri" w:cs="Calibri"/>
          <w:color w:val="000000"/>
          <w:lang w:val="en-US"/>
        </w:rPr>
        <w:t xml:space="preserve"> omitting U-235,</w:t>
      </w:r>
      <w:r w:rsidR="00C43D36">
        <w:rPr>
          <w:rFonts w:ascii="Calibri" w:hAnsi="Calibri" w:cs="Calibri"/>
          <w:color w:val="000000"/>
          <w:lang w:val="en-US"/>
        </w:rPr>
        <w:t xml:space="preserve"> </w:t>
      </w:r>
      <w:r w:rsidR="00C43D36" w:rsidRPr="00FE7E78">
        <w:rPr>
          <w:rFonts w:ascii="Calibri" w:hAnsi="Calibri" w:cs="Calibri"/>
          <w:color w:val="000000"/>
          <w:lang w:val="en-US"/>
        </w:rPr>
        <w:t xml:space="preserve">hence overall trend is observed to </w:t>
      </w:r>
      <w:r w:rsidR="004811D6">
        <w:rPr>
          <w:rFonts w:ascii="Calibri" w:hAnsi="Calibri" w:cs="Calibri"/>
          <w:color w:val="000000"/>
          <w:lang w:val="en-US"/>
        </w:rPr>
        <w:t xml:space="preserve">evaluate </w:t>
      </w:r>
      <w:r w:rsidR="00C43D36" w:rsidRPr="00FE7E78">
        <w:rPr>
          <w:rFonts w:ascii="Calibri" w:hAnsi="Calibri" w:cs="Calibri"/>
          <w:color w:val="000000"/>
          <w:lang w:val="en-US"/>
        </w:rPr>
        <w:t>activity concentrations of these radionuclides</w:t>
      </w:r>
      <w:r w:rsidR="00B45D3F" w:rsidRPr="00FC000F">
        <w:rPr>
          <w:rFonts w:ascii="Calibri" w:hAnsi="Calibri" w:cs="Calibri"/>
          <w:color w:val="000000"/>
          <w:lang w:val="en-GB"/>
        </w:rPr>
        <w:t>.</w:t>
      </w:r>
      <w:r w:rsidRPr="00FC000F">
        <w:rPr>
          <w:rFonts w:ascii="Calibri" w:hAnsi="Calibri" w:cs="Calibri"/>
          <w:color w:val="000000"/>
          <w:lang w:val="en-GB"/>
        </w:rPr>
        <w:t xml:space="preserve"> </w:t>
      </w:r>
      <w:r w:rsidR="00B45D3F" w:rsidRPr="00FC000F">
        <w:rPr>
          <w:rFonts w:ascii="Calibri" w:hAnsi="Calibri" w:cs="Calibri"/>
          <w:color w:val="000000"/>
          <w:lang w:val="en-GB"/>
        </w:rPr>
        <w:t>Under</w:t>
      </w:r>
      <w:r w:rsidRPr="00FC000F">
        <w:rPr>
          <w:rFonts w:ascii="Calibri" w:hAnsi="Calibri" w:cs="Calibri"/>
          <w:color w:val="000000"/>
          <w:lang w:val="en-GB"/>
        </w:rPr>
        <w:t xml:space="preserve"> rare </w:t>
      </w:r>
      <w:r w:rsidR="00EF3367" w:rsidRPr="00FC000F">
        <w:rPr>
          <w:rFonts w:ascii="Calibri" w:hAnsi="Calibri" w:cs="Calibri"/>
          <w:color w:val="000000"/>
          <w:lang w:val="en-GB"/>
        </w:rPr>
        <w:t xml:space="preserve">secular </w:t>
      </w:r>
      <w:r w:rsidRPr="00FC000F">
        <w:rPr>
          <w:rFonts w:ascii="Calibri" w:hAnsi="Calibri" w:cs="Calibri"/>
          <w:color w:val="000000"/>
          <w:lang w:val="en-GB"/>
        </w:rPr>
        <w:t>equilibrium conditions, measuring a</w:t>
      </w:r>
      <w:r w:rsidR="000F605C" w:rsidRPr="00FC000F">
        <w:rPr>
          <w:rFonts w:ascii="Calibri" w:hAnsi="Calibri" w:cs="Calibri"/>
          <w:color w:val="000000"/>
          <w:lang w:val="en-GB"/>
        </w:rPr>
        <w:t>ny</w:t>
      </w:r>
      <w:r w:rsidRPr="00FC000F">
        <w:rPr>
          <w:rFonts w:ascii="Calibri" w:hAnsi="Calibri" w:cs="Calibri"/>
          <w:color w:val="000000"/>
          <w:lang w:val="en-GB"/>
        </w:rPr>
        <w:t xml:space="preserve"> single radionuclide can represent the whole series,</w:t>
      </w:r>
      <w:r w:rsidR="000F605C" w:rsidRPr="00FC000F">
        <w:rPr>
          <w:rFonts w:ascii="Calibri" w:hAnsi="Calibri" w:cs="Calibri"/>
          <w:color w:val="000000"/>
          <w:lang w:val="en-GB"/>
        </w:rPr>
        <w:t xml:space="preserve"> including parent</w:t>
      </w:r>
      <w:r w:rsidR="000F605C">
        <w:rPr>
          <w:rFonts w:ascii="Calibri" w:hAnsi="Calibri" w:cs="Calibri"/>
          <w:color w:val="000000"/>
          <w:lang w:val="en-US"/>
        </w:rPr>
        <w:t xml:space="preserve"> radionuclides</w:t>
      </w:r>
      <w:r w:rsidRPr="008E32C4">
        <w:rPr>
          <w:rFonts w:ascii="Calibri" w:hAnsi="Calibri" w:cs="Calibri"/>
          <w:color w:val="000000"/>
          <w:lang w:val="en-US"/>
        </w:rPr>
        <w:t xml:space="preserve"> but this is uncommon due to frequent disturbances.</w:t>
      </w:r>
      <w:r w:rsidR="00EF3367" w:rsidRPr="00EF3367">
        <w:rPr>
          <w:rFonts w:ascii="Calibri" w:hAnsi="Calibri" w:cs="Calibri"/>
          <w:color w:val="000000"/>
          <w:lang w:val="en-US"/>
        </w:rPr>
        <w:t xml:space="preserve"> </w:t>
      </w:r>
      <w:r w:rsidR="00EF3367" w:rsidRPr="008E32C4">
        <w:rPr>
          <w:rFonts w:ascii="Calibri" w:hAnsi="Calibri" w:cs="Calibri"/>
          <w:color w:val="000000"/>
          <w:lang w:val="en-US"/>
        </w:rPr>
        <w:t>Phenomena like leaching, sorption, diffusion, precipitation, emanation</w:t>
      </w:r>
      <w:r w:rsidR="00E271FC">
        <w:rPr>
          <w:rFonts w:ascii="Calibri" w:hAnsi="Calibri" w:cs="Calibri"/>
          <w:color w:val="000000"/>
          <w:lang w:val="en-US"/>
        </w:rPr>
        <w:t xml:space="preserve"> etc.</w:t>
      </w:r>
      <w:r w:rsidR="00EF3367" w:rsidRPr="008E32C4">
        <w:rPr>
          <w:rFonts w:ascii="Calibri" w:hAnsi="Calibri" w:cs="Calibri"/>
          <w:color w:val="000000"/>
          <w:lang w:val="en-US"/>
        </w:rPr>
        <w:t xml:space="preserve">, </w:t>
      </w:r>
      <w:r w:rsidR="00F56F75">
        <w:rPr>
          <w:rFonts w:ascii="Calibri" w:hAnsi="Calibri" w:cs="Calibri"/>
          <w:color w:val="000000"/>
          <w:lang w:val="en-US"/>
        </w:rPr>
        <w:t>as well as</w:t>
      </w:r>
      <w:r w:rsidR="00EF3367" w:rsidRPr="008E32C4">
        <w:rPr>
          <w:rFonts w:ascii="Calibri" w:hAnsi="Calibri" w:cs="Calibri"/>
          <w:color w:val="000000"/>
          <w:lang w:val="en-US"/>
        </w:rPr>
        <w:t xml:space="preserve"> human </w:t>
      </w:r>
      <w:r w:rsidR="008415AE">
        <w:rPr>
          <w:rFonts w:ascii="Calibri" w:hAnsi="Calibri" w:cs="Calibri"/>
          <w:color w:val="000000"/>
          <w:lang w:val="en-US"/>
        </w:rPr>
        <w:t xml:space="preserve">or non-human biota </w:t>
      </w:r>
      <w:r w:rsidR="00EF3367" w:rsidRPr="008E32C4">
        <w:rPr>
          <w:rFonts w:ascii="Calibri" w:hAnsi="Calibri" w:cs="Calibri"/>
          <w:color w:val="000000"/>
          <w:lang w:val="en-US"/>
        </w:rPr>
        <w:t>activities can alter</w:t>
      </w:r>
      <w:r w:rsidR="00F56F75">
        <w:rPr>
          <w:rFonts w:ascii="Calibri" w:hAnsi="Calibri" w:cs="Calibri"/>
          <w:color w:val="000000"/>
          <w:lang w:val="en-US"/>
        </w:rPr>
        <w:t xml:space="preserve"> mutual </w:t>
      </w:r>
      <w:r w:rsidR="00EF3367" w:rsidRPr="008E32C4">
        <w:rPr>
          <w:rFonts w:ascii="Calibri" w:hAnsi="Calibri" w:cs="Calibri"/>
          <w:color w:val="000000"/>
          <w:lang w:val="en-US"/>
        </w:rPr>
        <w:t>radionuclide</w:t>
      </w:r>
      <w:r w:rsidR="00EF3367">
        <w:rPr>
          <w:rFonts w:ascii="Calibri" w:hAnsi="Calibri" w:cs="Calibri"/>
          <w:color w:val="000000"/>
          <w:lang w:val="en-US"/>
        </w:rPr>
        <w:t>s</w:t>
      </w:r>
      <w:r w:rsidR="00EF3367" w:rsidRPr="008E32C4">
        <w:rPr>
          <w:rFonts w:ascii="Calibri" w:hAnsi="Calibri" w:cs="Calibri"/>
          <w:color w:val="000000"/>
          <w:lang w:val="en-US"/>
        </w:rPr>
        <w:t xml:space="preserve"> </w:t>
      </w:r>
      <w:r w:rsidR="00277429">
        <w:rPr>
          <w:rFonts w:ascii="Calibri" w:hAnsi="Calibri" w:cs="Calibri"/>
          <w:color w:val="000000"/>
          <w:lang w:val="en-US"/>
        </w:rPr>
        <w:t>dependencies</w:t>
      </w:r>
      <w:r w:rsidR="00F56F75">
        <w:rPr>
          <w:rFonts w:ascii="Calibri" w:hAnsi="Calibri" w:cs="Calibri"/>
          <w:color w:val="000000"/>
          <w:lang w:val="en-US"/>
        </w:rPr>
        <w:t xml:space="preserve"> </w:t>
      </w:r>
      <w:r w:rsidR="007D52B2">
        <w:rPr>
          <w:rFonts w:ascii="Calibri" w:hAnsi="Calibri" w:cs="Calibri"/>
          <w:color w:val="000000"/>
          <w:lang w:val="en-US"/>
        </w:rPr>
        <w:t>determined</w:t>
      </w:r>
      <w:r w:rsidR="00F56F75">
        <w:rPr>
          <w:rFonts w:ascii="Calibri" w:hAnsi="Calibri" w:cs="Calibri"/>
          <w:color w:val="000000"/>
          <w:lang w:val="en-US"/>
        </w:rPr>
        <w:t xml:space="preserve"> by the </w:t>
      </w:r>
      <w:r w:rsidR="006C2C4F">
        <w:rPr>
          <w:rFonts w:ascii="Calibri" w:hAnsi="Calibri" w:cs="Calibri"/>
          <w:color w:val="000000"/>
          <w:lang w:val="en-US"/>
        </w:rPr>
        <w:t xml:space="preserve">radioactive </w:t>
      </w:r>
      <w:r w:rsidR="00F56F75">
        <w:rPr>
          <w:rFonts w:ascii="Calibri" w:hAnsi="Calibri" w:cs="Calibri"/>
          <w:color w:val="000000"/>
          <w:lang w:val="en-US"/>
        </w:rPr>
        <w:t xml:space="preserve">decay law and affect </w:t>
      </w:r>
      <w:r w:rsidR="008415AE">
        <w:rPr>
          <w:rFonts w:ascii="Calibri" w:hAnsi="Calibri" w:cs="Calibri"/>
          <w:color w:val="000000"/>
          <w:lang w:val="en-US"/>
        </w:rPr>
        <w:t xml:space="preserve">their </w:t>
      </w:r>
      <w:r w:rsidR="00F56F75">
        <w:rPr>
          <w:rFonts w:ascii="Calibri" w:hAnsi="Calibri" w:cs="Calibri"/>
          <w:color w:val="000000"/>
          <w:lang w:val="en-US"/>
        </w:rPr>
        <w:t xml:space="preserve">final </w:t>
      </w:r>
      <w:r w:rsidR="00EF3367" w:rsidRPr="008E32C4">
        <w:rPr>
          <w:rFonts w:ascii="Calibri" w:hAnsi="Calibri" w:cs="Calibri"/>
          <w:color w:val="000000"/>
          <w:lang w:val="en-US"/>
        </w:rPr>
        <w:t>distribution.</w:t>
      </w:r>
      <w:r w:rsidR="00EF3367">
        <w:rPr>
          <w:rFonts w:ascii="Calibri" w:hAnsi="Calibri" w:cs="Calibri"/>
          <w:color w:val="000000"/>
          <w:lang w:val="en-US"/>
        </w:rPr>
        <w:t xml:space="preserve"> </w:t>
      </w:r>
    </w:p>
    <w:p w14:paraId="04EEB741" w14:textId="618E9614" w:rsidR="00D81E66" w:rsidRPr="00C60DE8" w:rsidRDefault="00D81E66" w:rsidP="00952838">
      <w:pPr>
        <w:jc w:val="both"/>
        <w:rPr>
          <w:rFonts w:ascii="Calibri" w:hAnsi="Calibri" w:cs="Calibri"/>
          <w:color w:val="000000"/>
          <w:lang w:val="en-US"/>
        </w:rPr>
      </w:pPr>
      <w:r w:rsidRPr="00C60DE8">
        <w:rPr>
          <w:rFonts w:ascii="Calibri" w:hAnsi="Calibri" w:cs="Calibri"/>
          <w:color w:val="000000"/>
          <w:lang w:val="en-US"/>
        </w:rPr>
        <w:t xml:space="preserve">When secular equilibrium cannot be assumed, radionuclide-specific analytical techniques must be </w:t>
      </w:r>
      <w:r w:rsidR="00A252B9">
        <w:rPr>
          <w:rFonts w:ascii="Calibri" w:hAnsi="Calibri" w:cs="Calibri"/>
          <w:color w:val="000000"/>
          <w:lang w:val="en-US"/>
        </w:rPr>
        <w:t>applied</w:t>
      </w:r>
      <w:r w:rsidRPr="00C60DE8">
        <w:rPr>
          <w:rFonts w:ascii="Calibri" w:hAnsi="Calibri" w:cs="Calibri"/>
          <w:color w:val="000000"/>
          <w:lang w:val="en-US"/>
        </w:rPr>
        <w:t>. However, directly measurable naturally occurring radionuclides do not always correspond to those most relevant for NORM characterization from a radiation protection perspective. Therefore, accurate interpretation of results demands thorough evaluation of the NORM source history, composition, and assumptions regarding radioactive equilibrium to ensure meaningful assessment of potential radiation hazards in both occupational and environmental contexts.</w:t>
      </w:r>
    </w:p>
    <w:p w14:paraId="2AE6DB5F" w14:textId="77777777" w:rsidR="00A912BD" w:rsidRDefault="00A912BD" w:rsidP="00F006E2">
      <w:pPr>
        <w:rPr>
          <w:rFonts w:ascii="Calibri" w:hAnsi="Calibri" w:cs="Calibri"/>
          <w:color w:val="000000"/>
          <w:lang w:val="en-US"/>
        </w:rPr>
      </w:pPr>
    </w:p>
    <w:sectPr w:rsidR="00A91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81068"/>
    <w:multiLevelType w:val="hybridMultilevel"/>
    <w:tmpl w:val="2D9AF8FC"/>
    <w:lvl w:ilvl="0" w:tplc="89169214">
      <w:start w:val="1"/>
      <w:numFmt w:val="bullet"/>
      <w:lvlText w:val=""/>
      <w:lvlJc w:val="left"/>
      <w:pPr>
        <w:tabs>
          <w:tab w:val="num" w:pos="720"/>
        </w:tabs>
        <w:ind w:left="720" w:hanging="360"/>
      </w:pPr>
      <w:rPr>
        <w:rFonts w:ascii="Wingdings" w:hAnsi="Wingdings" w:hint="default"/>
      </w:rPr>
    </w:lvl>
    <w:lvl w:ilvl="1" w:tplc="B52277D4" w:tentative="1">
      <w:start w:val="1"/>
      <w:numFmt w:val="bullet"/>
      <w:lvlText w:val=""/>
      <w:lvlJc w:val="left"/>
      <w:pPr>
        <w:tabs>
          <w:tab w:val="num" w:pos="1440"/>
        </w:tabs>
        <w:ind w:left="1440" w:hanging="360"/>
      </w:pPr>
      <w:rPr>
        <w:rFonts w:ascii="Wingdings" w:hAnsi="Wingdings" w:hint="default"/>
      </w:rPr>
    </w:lvl>
    <w:lvl w:ilvl="2" w:tplc="6E9CF014" w:tentative="1">
      <w:start w:val="1"/>
      <w:numFmt w:val="bullet"/>
      <w:lvlText w:val=""/>
      <w:lvlJc w:val="left"/>
      <w:pPr>
        <w:tabs>
          <w:tab w:val="num" w:pos="2160"/>
        </w:tabs>
        <w:ind w:left="2160" w:hanging="360"/>
      </w:pPr>
      <w:rPr>
        <w:rFonts w:ascii="Wingdings" w:hAnsi="Wingdings" w:hint="default"/>
      </w:rPr>
    </w:lvl>
    <w:lvl w:ilvl="3" w:tplc="DEB45C44" w:tentative="1">
      <w:start w:val="1"/>
      <w:numFmt w:val="bullet"/>
      <w:lvlText w:val=""/>
      <w:lvlJc w:val="left"/>
      <w:pPr>
        <w:tabs>
          <w:tab w:val="num" w:pos="2880"/>
        </w:tabs>
        <w:ind w:left="2880" w:hanging="360"/>
      </w:pPr>
      <w:rPr>
        <w:rFonts w:ascii="Wingdings" w:hAnsi="Wingdings" w:hint="default"/>
      </w:rPr>
    </w:lvl>
    <w:lvl w:ilvl="4" w:tplc="0E229508" w:tentative="1">
      <w:start w:val="1"/>
      <w:numFmt w:val="bullet"/>
      <w:lvlText w:val=""/>
      <w:lvlJc w:val="left"/>
      <w:pPr>
        <w:tabs>
          <w:tab w:val="num" w:pos="3600"/>
        </w:tabs>
        <w:ind w:left="3600" w:hanging="360"/>
      </w:pPr>
      <w:rPr>
        <w:rFonts w:ascii="Wingdings" w:hAnsi="Wingdings" w:hint="default"/>
      </w:rPr>
    </w:lvl>
    <w:lvl w:ilvl="5" w:tplc="EE9EDEA6" w:tentative="1">
      <w:start w:val="1"/>
      <w:numFmt w:val="bullet"/>
      <w:lvlText w:val=""/>
      <w:lvlJc w:val="left"/>
      <w:pPr>
        <w:tabs>
          <w:tab w:val="num" w:pos="4320"/>
        </w:tabs>
        <w:ind w:left="4320" w:hanging="360"/>
      </w:pPr>
      <w:rPr>
        <w:rFonts w:ascii="Wingdings" w:hAnsi="Wingdings" w:hint="default"/>
      </w:rPr>
    </w:lvl>
    <w:lvl w:ilvl="6" w:tplc="091E0384" w:tentative="1">
      <w:start w:val="1"/>
      <w:numFmt w:val="bullet"/>
      <w:lvlText w:val=""/>
      <w:lvlJc w:val="left"/>
      <w:pPr>
        <w:tabs>
          <w:tab w:val="num" w:pos="5040"/>
        </w:tabs>
        <w:ind w:left="5040" w:hanging="360"/>
      </w:pPr>
      <w:rPr>
        <w:rFonts w:ascii="Wingdings" w:hAnsi="Wingdings" w:hint="default"/>
      </w:rPr>
    </w:lvl>
    <w:lvl w:ilvl="7" w:tplc="2FFC45C8" w:tentative="1">
      <w:start w:val="1"/>
      <w:numFmt w:val="bullet"/>
      <w:lvlText w:val=""/>
      <w:lvlJc w:val="left"/>
      <w:pPr>
        <w:tabs>
          <w:tab w:val="num" w:pos="5760"/>
        </w:tabs>
        <w:ind w:left="5760" w:hanging="360"/>
      </w:pPr>
      <w:rPr>
        <w:rFonts w:ascii="Wingdings" w:hAnsi="Wingdings" w:hint="default"/>
      </w:rPr>
    </w:lvl>
    <w:lvl w:ilvl="8" w:tplc="620827AC" w:tentative="1">
      <w:start w:val="1"/>
      <w:numFmt w:val="bullet"/>
      <w:lvlText w:val=""/>
      <w:lvlJc w:val="left"/>
      <w:pPr>
        <w:tabs>
          <w:tab w:val="num" w:pos="6480"/>
        </w:tabs>
        <w:ind w:left="6480" w:hanging="360"/>
      </w:pPr>
      <w:rPr>
        <w:rFonts w:ascii="Wingdings" w:hAnsi="Wingdings" w:hint="default"/>
      </w:rPr>
    </w:lvl>
  </w:abstractNum>
  <w:num w:numId="1" w16cid:durableId="87689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62"/>
    <w:rsid w:val="00011476"/>
    <w:rsid w:val="000F605C"/>
    <w:rsid w:val="00163BE4"/>
    <w:rsid w:val="00207906"/>
    <w:rsid w:val="002638BD"/>
    <w:rsid w:val="00277429"/>
    <w:rsid w:val="003E0654"/>
    <w:rsid w:val="003F470E"/>
    <w:rsid w:val="004303E3"/>
    <w:rsid w:val="004811D6"/>
    <w:rsid w:val="00536B87"/>
    <w:rsid w:val="0058169D"/>
    <w:rsid w:val="00635365"/>
    <w:rsid w:val="006435AB"/>
    <w:rsid w:val="006A6729"/>
    <w:rsid w:val="006C2C4F"/>
    <w:rsid w:val="00731AFD"/>
    <w:rsid w:val="007D52B2"/>
    <w:rsid w:val="00810EC9"/>
    <w:rsid w:val="008415AE"/>
    <w:rsid w:val="008E32C4"/>
    <w:rsid w:val="0090036D"/>
    <w:rsid w:val="00934791"/>
    <w:rsid w:val="00952838"/>
    <w:rsid w:val="00955B40"/>
    <w:rsid w:val="009A23C6"/>
    <w:rsid w:val="009F604F"/>
    <w:rsid w:val="00A252B9"/>
    <w:rsid w:val="00A255C9"/>
    <w:rsid w:val="00A35B4B"/>
    <w:rsid w:val="00A912BD"/>
    <w:rsid w:val="00A93280"/>
    <w:rsid w:val="00AD250A"/>
    <w:rsid w:val="00B3020D"/>
    <w:rsid w:val="00B35032"/>
    <w:rsid w:val="00B40CA6"/>
    <w:rsid w:val="00B45D3F"/>
    <w:rsid w:val="00B52883"/>
    <w:rsid w:val="00BD7843"/>
    <w:rsid w:val="00BE168B"/>
    <w:rsid w:val="00BF43C6"/>
    <w:rsid w:val="00C1688E"/>
    <w:rsid w:val="00C25F5A"/>
    <w:rsid w:val="00C43D36"/>
    <w:rsid w:val="00C53256"/>
    <w:rsid w:val="00C60DE8"/>
    <w:rsid w:val="00CB0394"/>
    <w:rsid w:val="00D81E66"/>
    <w:rsid w:val="00D85A0A"/>
    <w:rsid w:val="00DC3F31"/>
    <w:rsid w:val="00E271FC"/>
    <w:rsid w:val="00E76A9C"/>
    <w:rsid w:val="00E91762"/>
    <w:rsid w:val="00EF3367"/>
    <w:rsid w:val="00F006E2"/>
    <w:rsid w:val="00F56F75"/>
    <w:rsid w:val="00FA551F"/>
    <w:rsid w:val="00FC000F"/>
    <w:rsid w:val="00FE7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BF91"/>
  <w15:chartTrackingRefBased/>
  <w15:docId w15:val="{F5AF773C-FF03-4D13-B2CB-D75A8E2D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1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91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9176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9176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9176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917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17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17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17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176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9176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9176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9176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9176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917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17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17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1762"/>
    <w:rPr>
      <w:rFonts w:eastAsiaTheme="majorEastAsia" w:cstheme="majorBidi"/>
      <w:color w:val="272727" w:themeColor="text1" w:themeTint="D8"/>
    </w:rPr>
  </w:style>
  <w:style w:type="paragraph" w:styleId="Tytu">
    <w:name w:val="Title"/>
    <w:basedOn w:val="Normalny"/>
    <w:next w:val="Normalny"/>
    <w:link w:val="TytuZnak"/>
    <w:uiPriority w:val="10"/>
    <w:qFormat/>
    <w:rsid w:val="00E91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17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17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17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1762"/>
    <w:pPr>
      <w:spacing w:before="160"/>
      <w:jc w:val="center"/>
    </w:pPr>
    <w:rPr>
      <w:i/>
      <w:iCs/>
      <w:color w:val="404040" w:themeColor="text1" w:themeTint="BF"/>
    </w:rPr>
  </w:style>
  <w:style w:type="character" w:customStyle="1" w:styleId="CytatZnak">
    <w:name w:val="Cytat Znak"/>
    <w:basedOn w:val="Domylnaczcionkaakapitu"/>
    <w:link w:val="Cytat"/>
    <w:uiPriority w:val="29"/>
    <w:rsid w:val="00E91762"/>
    <w:rPr>
      <w:i/>
      <w:iCs/>
      <w:color w:val="404040" w:themeColor="text1" w:themeTint="BF"/>
    </w:rPr>
  </w:style>
  <w:style w:type="paragraph" w:styleId="Akapitzlist">
    <w:name w:val="List Paragraph"/>
    <w:basedOn w:val="Normalny"/>
    <w:uiPriority w:val="34"/>
    <w:qFormat/>
    <w:rsid w:val="00E91762"/>
    <w:pPr>
      <w:ind w:left="720"/>
      <w:contextualSpacing/>
    </w:pPr>
  </w:style>
  <w:style w:type="character" w:styleId="Wyrnienieintensywne">
    <w:name w:val="Intense Emphasis"/>
    <w:basedOn w:val="Domylnaczcionkaakapitu"/>
    <w:uiPriority w:val="21"/>
    <w:qFormat/>
    <w:rsid w:val="00E91762"/>
    <w:rPr>
      <w:i/>
      <w:iCs/>
      <w:color w:val="2F5496" w:themeColor="accent1" w:themeShade="BF"/>
    </w:rPr>
  </w:style>
  <w:style w:type="paragraph" w:styleId="Cytatintensywny">
    <w:name w:val="Intense Quote"/>
    <w:basedOn w:val="Normalny"/>
    <w:next w:val="Normalny"/>
    <w:link w:val="CytatintensywnyZnak"/>
    <w:uiPriority w:val="30"/>
    <w:qFormat/>
    <w:rsid w:val="00E91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91762"/>
    <w:rPr>
      <w:i/>
      <w:iCs/>
      <w:color w:val="2F5496" w:themeColor="accent1" w:themeShade="BF"/>
    </w:rPr>
  </w:style>
  <w:style w:type="character" w:styleId="Odwoanieintensywne">
    <w:name w:val="Intense Reference"/>
    <w:basedOn w:val="Domylnaczcionkaakapitu"/>
    <w:uiPriority w:val="32"/>
    <w:qFormat/>
    <w:rsid w:val="00E91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326</Words>
  <Characters>1959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Michalik Bogusław</dc:creator>
  <cp:keywords/>
  <dc:description/>
  <cp:lastModifiedBy>Michalik Bogusław</cp:lastModifiedBy>
  <cp:revision>39</cp:revision>
  <dcterms:created xsi:type="dcterms:W3CDTF">2025-08-21T07:18:00Z</dcterms:created>
  <dcterms:modified xsi:type="dcterms:W3CDTF">2025-08-21T11:43:00Z</dcterms:modified>
</cp:coreProperties>
</file>