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ind w:firstLine="482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8"/>
        </w:rPr>
        <w:t xml:space="preserve">Validation of a method for the determination of </w:t>
      </w:r>
      <w:r>
        <w:rPr>
          <w:rFonts w:cs="Calibri" w:ascii="Calibri" w:hAnsi="Calibri" w:asciiTheme="minorHAnsi" w:cstheme="minorHAnsi" w:hAnsiTheme="minorHAnsi"/>
          <w:b/>
          <w:sz w:val="28"/>
          <w:vertAlign w:val="superscript"/>
        </w:rPr>
        <w:t>99</w:t>
      </w:r>
      <w:r>
        <w:rPr>
          <w:rFonts w:cs="Calibri" w:ascii="Calibri" w:hAnsi="Calibri" w:asciiTheme="minorHAnsi" w:cstheme="minorHAnsi" w:hAnsiTheme="minorHAnsi"/>
          <w:b/>
          <w:sz w:val="28"/>
        </w:rPr>
        <w:t xml:space="preserve">Tc in environmental samples </w:t>
      </w:r>
      <w:bookmarkStart w:id="0" w:name="__DdeLink__517_832016928"/>
      <w:r>
        <w:rPr>
          <w:rFonts w:cs="Calibri" w:ascii="Calibri" w:hAnsi="Calibri" w:asciiTheme="minorHAnsi" w:cstheme="minorHAnsi" w:hAnsiTheme="minorHAnsi"/>
          <w:b/>
          <w:sz w:val="28"/>
        </w:rPr>
        <w:t>using TK-TcScint resin</w:t>
      </w:r>
      <w:bookmarkEnd w:id="0"/>
      <w:r>
        <w:rPr>
          <w:rFonts w:cs="Calibri" w:ascii="Calibri" w:hAnsi="Calibri" w:asciiTheme="minorHAnsi" w:cstheme="minorHAnsi" w:hAnsiTheme="minorHAnsi"/>
          <w:b/>
          <w:sz w:val="28"/>
        </w:rPr>
        <w:t xml:space="preserve"> </w:t>
      </w:r>
    </w:p>
    <w:p>
      <w:pPr>
        <w:pStyle w:val="Normal"/>
        <w:spacing w:before="187" w:after="0"/>
        <w:ind w:firstLine="475"/>
        <w:jc w:val="center"/>
        <w:rPr/>
      </w:pPr>
      <w:r>
        <w:rPr>
          <w:rFonts w:eastAsia="Times New Roman" w:cs="Calibri" w:ascii="Calibri" w:hAnsi="Calibri" w:asciiTheme="minorHAnsi" w:cstheme="minorHAnsi" w:hAnsiTheme="minorHAnsi"/>
          <w:b/>
          <w:color w:val="000000" w:themeColor="text1"/>
          <w:sz w:val="22"/>
          <w:szCs w:val="22"/>
          <w:lang w:val="es-ES"/>
        </w:rPr>
        <w:t>Imanol Pérez</w:t>
      </w:r>
      <w:r>
        <w:rPr>
          <w:rFonts w:eastAsia="Times New Roman" w:cs="Calibri" w:ascii="Calibri" w:hAnsi="Calibri" w:asciiTheme="minorHAnsi" w:cstheme="minorHAnsi" w:hAnsiTheme="minorHAnsi"/>
          <w:b/>
          <w:color w:val="000000" w:themeColor="text1"/>
          <w:sz w:val="22"/>
          <w:szCs w:val="22"/>
          <w:vertAlign w:val="superscript"/>
          <w:lang w:val="es-ES"/>
        </w:rPr>
        <w:t>1</w:t>
      </w:r>
      <w:r>
        <w:rPr>
          <w:rFonts w:eastAsia="Times New Roman" w:cs="Calibri" w:ascii="Calibri" w:hAnsi="Calibri" w:asciiTheme="minorHAnsi" w:cstheme="minorHAnsi" w:hAnsiTheme="minorHAnsi"/>
          <w:b/>
          <w:color w:val="000000" w:themeColor="text1"/>
          <w:sz w:val="22"/>
          <w:szCs w:val="22"/>
          <w:lang w:val="es-ES"/>
        </w:rPr>
        <w:t>, Saroa Rozas</w:t>
      </w:r>
      <w:r>
        <w:rPr>
          <w:rFonts w:eastAsia="Times New Roman" w:cs="Calibri" w:ascii="Calibri" w:hAnsi="Calibri" w:asciiTheme="minorHAnsi" w:cstheme="minorHAnsi" w:hAnsiTheme="minorHAnsi"/>
          <w:b/>
          <w:color w:val="000000" w:themeColor="text1"/>
          <w:sz w:val="22"/>
          <w:szCs w:val="22"/>
          <w:vertAlign w:val="superscript"/>
          <w:lang w:val="es-ES"/>
        </w:rPr>
        <w:t>1,</w:t>
      </w:r>
      <w:r>
        <w:rPr>
          <w:rFonts w:eastAsia="Times New Roman" w:cs="Calibri" w:ascii="Calibri" w:hAnsi="Calibri" w:asciiTheme="minorHAnsi" w:cstheme="minorHAnsi" w:hAnsiTheme="minorHAnsi"/>
          <w:b/>
          <w:color w:val="000000" w:themeColor="text1"/>
          <w:sz w:val="22"/>
          <w:szCs w:val="22"/>
          <w:lang w:val="es-ES"/>
        </w:rPr>
        <w:t>* and Raquel Idoeta</w:t>
      </w:r>
      <w:r>
        <w:rPr>
          <w:rFonts w:eastAsia="Times New Roman" w:cs="Calibri" w:ascii="Calibri" w:hAnsi="Calibri" w:asciiTheme="minorHAnsi" w:cstheme="minorHAnsi" w:hAnsiTheme="minorHAnsi"/>
          <w:b/>
          <w:color w:val="000000" w:themeColor="text1"/>
          <w:sz w:val="22"/>
          <w:szCs w:val="22"/>
          <w:vertAlign w:val="superscript"/>
          <w:lang w:val="es-ES"/>
        </w:rPr>
        <w:t>1</w:t>
      </w:r>
    </w:p>
    <w:p>
      <w:pPr>
        <w:pStyle w:val="Normal"/>
        <w:spacing w:before="240" w:after="0"/>
        <w:ind w:firstLine="475"/>
        <w:jc w:val="center"/>
        <w:rPr/>
      </w:pPr>
      <w:r>
        <w:rPr>
          <w:rFonts w:eastAsia="Times New Roman" w:cs="Calibri" w:ascii="Calibri" w:hAnsi="Calibri" w:asciiTheme="minorHAnsi" w:cstheme="minorHAnsi" w:hAnsi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>
        <w:rPr>
          <w:rFonts w:eastAsia="Times New Roman" w:cs="Calibri" w:ascii="Calibri" w:hAnsi="Calibri" w:asciiTheme="minorHAnsi" w:cstheme="minorHAnsi" w:hAnsiTheme="minorHAnsi"/>
          <w:i/>
          <w:iCs/>
          <w:color w:val="000000" w:themeColor="text1"/>
          <w:sz w:val="20"/>
          <w:szCs w:val="20"/>
        </w:rPr>
        <w:t xml:space="preserve">University of the Basque Country (UPV/EHU), 48013 Bilbao, Spain </w:t>
      </w:r>
    </w:p>
    <w:p>
      <w:pPr>
        <w:pStyle w:val="Normal"/>
        <w:spacing w:before="240" w:after="0"/>
        <w:ind w:firstLine="475"/>
        <w:jc w:val="center"/>
        <w:rPr/>
      </w:pPr>
      <w:r>
        <w:rPr>
          <w:rFonts w:eastAsia="Times New Roman" w:cs="Calibri" w:ascii="Calibri" w:hAnsi="Calibri" w:asciiTheme="minorHAnsi" w:cstheme="minorHAnsi" w:hAnsiTheme="minorHAnsi"/>
          <w:color w:val="000000" w:themeColor="text1"/>
          <w:sz w:val="20"/>
        </w:rPr>
        <w:t>*</w:t>
      </w:r>
      <w:r>
        <w:rPr>
          <w:rFonts w:cs="Calibri" w:ascii="Calibri" w:hAnsi="Calibri" w:asciiTheme="minorHAnsi" w:cstheme="minorHAnsi" w:hAnsiTheme="minorHAnsi"/>
          <w:sz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i/>
          <w:color w:val="000000" w:themeColor="text1"/>
          <w:sz w:val="20"/>
        </w:rPr>
        <w:t>e-mail: saroa.rozas@ehu.eus</w:t>
      </w:r>
    </w:p>
    <w:p>
      <w:pPr>
        <w:pStyle w:val="Cuerpodetexto"/>
        <w:spacing w:before="240" w:after="0"/>
        <w:ind w:hanging="0"/>
        <w:rPr>
          <w:rFonts w:ascii="Calibri" w:hAnsi="Calibri"/>
          <w:sz w:val="22"/>
          <w:szCs w:val="22"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u w:val="single"/>
          <w:lang w:val="en-GB"/>
        </w:rPr>
        <w:t>1. Introduction</w:t>
      </w:r>
    </w:p>
    <w:p>
      <w:pPr>
        <w:pStyle w:val="Cuerpodetexto"/>
        <w:spacing w:before="240" w:after="0"/>
        <w:ind w:hanging="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vertAlign w:val="superscript"/>
          <w:lang w:val="en-GB"/>
        </w:rPr>
        <w:t>99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 xml:space="preserve">Tc is a beta emitter and one of the most significant 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vertAlign w:val="superscript"/>
          <w:lang w:val="en-GB"/>
        </w:rPr>
        <w:t>235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>U fission products, since the reaction yield with thermal neutrons is 6 % and its period is 211.5 · 10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vertAlign w:val="superscript"/>
          <w:lang w:val="en-GB"/>
        </w:rPr>
        <w:t>3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 xml:space="preserve"> years. Therefore, it is under control in the environmental compartments around nuclear power plants (NPPs), undergoing operation or decommissioning, as it is one of the most common isotopes in the radioactive inventory of NPPs.</w:t>
      </w:r>
    </w:p>
    <w:p>
      <w:pPr>
        <w:pStyle w:val="Normal"/>
        <w:spacing w:before="240" w:after="0"/>
        <w:ind w:hanging="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 xml:space="preserve">Thus, this work deals with the validation of a procedure for the determination of 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vertAlign w:val="superscript"/>
          <w:lang w:val="en-GB"/>
        </w:rPr>
        <w:t>99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 xml:space="preserve">Tc activity in solid and liquid environmental samples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using TK-TcScint resin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 xml:space="preserve">, focusing on the assessment of the linearity, accuracy, precision and reproducibility with different concentrations of 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vertAlign w:val="superscript"/>
          <w:lang w:val="en-GB"/>
        </w:rPr>
        <w:t>99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>Tc activity. In addition, the chemical recovery, detection efficiency, background, overall uncertainty, detection limit (DL) – as a function of mass and measurement time – and specificity are analysed.</w:t>
      </w:r>
    </w:p>
    <w:p>
      <w:pPr>
        <w:pStyle w:val="Normal"/>
        <w:spacing w:before="240" w:after="0"/>
        <w:ind w:hanging="0"/>
        <w:rPr>
          <w:rFonts w:ascii="Calibri" w:hAnsi="Calibri"/>
          <w:sz w:val="22"/>
          <w:szCs w:val="22"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u w:val="single"/>
          <w:lang w:val="en-GB"/>
        </w:rPr>
        <w:t>2. Material and methods</w:t>
      </w:r>
    </w:p>
    <w:p>
      <w:pPr>
        <w:pStyle w:val="Normal"/>
        <w:spacing w:before="240" w:after="0"/>
        <w:ind w:hanging="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 xml:space="preserve">For the validation of the 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vertAlign w:val="superscript"/>
          <w:lang w:val="en-GB"/>
        </w:rPr>
        <w:t>99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>Tc method, two sets of 5 water samples were prepared with an activity concentration between 10 and 100 times the expected DL and treated according to the following steps: addition of a few mL of 30 % H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vertAlign w:val="subscript"/>
          <w:lang w:val="en-GB"/>
        </w:rPr>
        <w:t>2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>O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vertAlign w:val="subscript"/>
          <w:lang w:val="en-GB"/>
        </w:rPr>
        <w:t>2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 xml:space="preserve">, heating to 90 °C for 1 hour, adjustment to 0.1M HCl and loading in the cartridge containing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TK-TcScint resin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 xml:space="preserve"> at 1 mL min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vertAlign w:val="superscript"/>
          <w:lang w:val="en-GB"/>
        </w:rPr>
        <w:t>-1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  <w:lang w:val="en-GB"/>
        </w:rPr>
        <w:t>.</w:t>
      </w:r>
    </w:p>
    <w:p>
      <w:pPr>
        <w:pStyle w:val="Normal"/>
        <w:spacing w:before="240" w:after="0"/>
        <w:ind w:hanging="0"/>
        <w:rPr/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>Then, the cartridges were placed into polyethylene vials and measured by the Quantulus 1220</w:t>
      </w:r>
      <w:r>
        <w:rPr>
          <w:rStyle w:val="Destacado"/>
          <w:rFonts w:eastAsia="Times New Roman" w:cs="Calibri" w:ascii="Calibri" w:hAnsi="Calibri" w:asciiTheme="minorHAnsi" w:cstheme="minorHAnsi" w:hAnsiTheme="minorHAnsi"/>
          <w:i w:val="false"/>
          <w:sz w:val="22"/>
          <w:szCs w:val="22"/>
          <w:lang w:val="en-GB"/>
        </w:rPr>
        <w:t xml:space="preserve"> Ultra Low Level Liquid Scintillation Spectrometer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 xml:space="preserve"> from Revvity for 3 hours and the C-14 protocol.</w:t>
      </w:r>
    </w:p>
    <w:p>
      <w:pPr>
        <w:pStyle w:val="Cuerpodetexto"/>
        <w:spacing w:before="240" w:after="0"/>
        <w:ind w:hanging="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>Once the validation samples were measured, the linearity, accuracy, precision and reproducibility of the results were assessed; and the uncertainties and achievable DL were established.</w:t>
      </w:r>
    </w:p>
    <w:p>
      <w:pPr>
        <w:pStyle w:val="Normal"/>
        <w:spacing w:before="240" w:after="0"/>
        <w:ind w:hanging="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 xml:space="preserve">A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vertAlign w:val="superscript"/>
          <w:lang w:val="en-GB"/>
        </w:rPr>
        <w:t>99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 xml:space="preserve">Tc standard solution </w:t>
      </w:r>
      <w:r>
        <w:rPr>
          <w:rFonts w:ascii="Calibri" w:hAnsi="Calibri"/>
          <w:sz w:val="22"/>
          <w:szCs w:val="22"/>
        </w:rPr>
        <w:t>is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 xml:space="preserve"> used to obtain the detection efficiency and a traced sample to obtain the overall efficiency and the chemical </w:t>
      </w:r>
      <w:r>
        <w:rPr>
          <w:rFonts w:ascii="Calibri" w:hAnsi="Calibri"/>
          <w:sz w:val="22"/>
          <w:szCs w:val="22"/>
        </w:rPr>
        <w:t>recovery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>.</w:t>
      </w:r>
    </w:p>
    <w:p>
      <w:pPr>
        <w:pStyle w:val="Cuerpodetexto"/>
        <w:spacing w:before="240" w:after="0"/>
        <w:ind w:hanging="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 xml:space="preserve">Finally, the specificity was analysed by environmental solid samples from some intercomparisons, containing other radionuclides and varying amounts of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vertAlign w:val="superscript"/>
          <w:lang w:val="en-GB"/>
        </w:rPr>
        <w:t>99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>Tc.</w:t>
      </w:r>
    </w:p>
    <w:p>
      <w:pPr>
        <w:pStyle w:val="Cuerpodetexto"/>
        <w:spacing w:before="240" w:after="0"/>
        <w:ind w:hanging="0"/>
        <w:rPr>
          <w:rFonts w:ascii="Calibri" w:hAnsi="Calibri"/>
          <w:sz w:val="22"/>
          <w:szCs w:val="22"/>
          <w:u w:val="single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u w:val="single"/>
          <w:lang w:val="en-GB"/>
        </w:rPr>
        <w:t>3. Results and discussion</w:t>
      </w:r>
    </w:p>
    <w:p>
      <w:pPr>
        <w:pStyle w:val="Normal"/>
        <w:spacing w:before="240" w:after="0"/>
        <w:ind w:hanging="0"/>
        <w:rPr/>
      </w:pPr>
      <w:r>
        <w:rPr>
          <w:rFonts w:eastAsia="MS Mincho" w:cs="Times New Roman" w:ascii="Calibri" w:hAnsi="Calibri"/>
          <w:kern w:val="2"/>
          <w:sz w:val="22"/>
          <w:szCs w:val="22"/>
          <w:lang w:val="en-US" w:eastAsia="ja-JP"/>
          <w14:ligatures w14:val="none"/>
        </w:rPr>
        <w:t xml:space="preserve">The accuracy has been assessed using a </w:t>
      </w:r>
      <w:r>
        <w:rPr>
          <w:rFonts w:ascii="Calibri" w:hAnsi="Calibri"/>
          <w:sz w:val="22"/>
          <w:szCs w:val="22"/>
        </w:rPr>
        <w:t xml:space="preserve">t-test, </w:t>
      </w:r>
      <w:r>
        <w:rPr>
          <w:rFonts w:eastAsia="MS Mincho" w:cs="Times New Roman" w:ascii="Calibri" w:hAnsi="Calibri"/>
          <w:kern w:val="2"/>
          <w:sz w:val="22"/>
          <w:szCs w:val="22"/>
          <w:lang w:val="en-US" w:eastAsia="ja-JP"/>
          <w14:ligatures w14:val="none"/>
        </w:rPr>
        <w:t>c</w:t>
      </w:r>
      <w:r>
        <w:rPr>
          <w:rFonts w:eastAsia="MS Mincho" w:cs="Times New Roman" w:ascii="Calibri" w:hAnsi="Calibri"/>
          <w:kern w:val="2"/>
          <w:sz w:val="22"/>
          <w:szCs w:val="22"/>
          <w:lang w:val="en-US" w:eastAsia="ja-JP"/>
          <w14:ligatures w14:val="none"/>
        </w:rPr>
        <w:t>onfirming</w:t>
      </w:r>
      <w:r>
        <w:rPr>
          <w:rFonts w:ascii="Calibri" w:hAnsi="Calibri"/>
          <w:sz w:val="22"/>
          <w:szCs w:val="22"/>
        </w:rPr>
        <w:t xml:space="preserve"> no significant differences between </w:t>
      </w:r>
      <w:r>
        <w:rPr>
          <w:rFonts w:eastAsia="MS Mincho" w:cs="Times New Roman" w:ascii="Calibri" w:hAnsi="Calibri"/>
          <w:kern w:val="2"/>
          <w:sz w:val="22"/>
          <w:szCs w:val="22"/>
          <w:lang w:val="en-US" w:eastAsia="ja-JP"/>
          <w14:ligatures w14:val="none"/>
        </w:rPr>
        <w:t xml:space="preserve">added and measured </w:t>
      </w:r>
      <w:r>
        <w:rPr>
          <w:rFonts w:eastAsia="MS Mincho" w:cs="Times New Roman" w:ascii="Calibri" w:hAnsi="Calibri"/>
          <w:kern w:val="2"/>
          <w:sz w:val="22"/>
          <w:szCs w:val="22"/>
          <w:lang w:val="en-US" w:eastAsia="ja-JP"/>
          <w14:ligatures w14:val="none"/>
        </w:rPr>
        <w:t>activity.</w:t>
      </w:r>
      <w:r>
        <w:rPr>
          <w:rFonts w:eastAsia="MS Mincho" w:cs="Times New Roman" w:ascii="Calibri" w:hAnsi="Calibri"/>
          <w:kern w:val="2"/>
          <w:sz w:val="22"/>
          <w:szCs w:val="22"/>
          <w:lang w:val="en-US" w:eastAsia="ja-JP"/>
          <w14:ligatures w14:val="none"/>
        </w:rPr>
        <w:t xml:space="preserve"> </w:t>
      </w:r>
      <w:r>
        <w:rPr>
          <w:rFonts w:eastAsia="MS Mincho" w:cs="Times New Roman" w:ascii="Calibri" w:hAnsi="Calibri"/>
          <w:kern w:val="2"/>
          <w:sz w:val="22"/>
          <w:szCs w:val="22"/>
          <w:lang w:val="en-US" w:eastAsia="ja-JP"/>
          <w14:ligatures w14:val="none"/>
        </w:rPr>
        <w:t>T</w:t>
      </w:r>
      <w:r>
        <w:rPr>
          <w:rFonts w:ascii="Calibri" w:hAnsi="Calibri"/>
          <w:sz w:val="22"/>
          <w:szCs w:val="22"/>
        </w:rPr>
        <w:t>he results are reproducible, since the dispersion between the mean and partial results is less than 15 %, and overlapping uncertainty bands are observed.</w:t>
      </w:r>
    </w:p>
    <w:p>
      <w:pPr>
        <w:pStyle w:val="Normal"/>
        <w:spacing w:before="240" w:after="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linear character of the method is consistent, and the DL values are of the order of 0.08 Bq kg</w:t>
      </w:r>
      <w:r>
        <w:rPr>
          <w:rFonts w:ascii="Calibri" w:hAnsi="Calibri"/>
          <w:sz w:val="22"/>
          <w:szCs w:val="22"/>
          <w:vertAlign w:val="superscript"/>
        </w:rPr>
        <w:t>-1</w:t>
      </w:r>
      <w:r>
        <w:rPr>
          <w:rFonts w:ascii="Calibri" w:hAnsi="Calibri"/>
          <w:sz w:val="22"/>
          <w:szCs w:val="22"/>
        </w:rPr>
        <w:t>, for 0.1 L of liquid samples and sample and blank measurement times of 3 and 12 hours, respectively.</w:t>
      </w:r>
    </w:p>
    <w:p>
      <w:pPr>
        <w:pStyle w:val="Normal"/>
        <w:spacing w:before="240" w:after="0"/>
        <w:ind w:hanging="0"/>
        <w:rPr/>
      </w:pPr>
      <w:r>
        <w:rPr>
          <w:rFonts w:ascii="Calibri" w:hAnsi="Calibri"/>
          <w:sz w:val="22"/>
          <w:szCs w:val="22"/>
        </w:rPr>
        <w:t xml:space="preserve">Regarding the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en-GB"/>
        </w:rPr>
        <w:t>spectral interferences, they are affordable by the window narrowing or deconvolution.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GB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2cf7"/>
    <w:pPr>
      <w:widowControl w:val="false"/>
      <w:bidi w:val="0"/>
      <w:spacing w:before="0" w:after="0"/>
      <w:ind w:firstLine="480"/>
      <w:jc w:val="both"/>
    </w:pPr>
    <w:rPr>
      <w:rFonts w:ascii="Times New Roman" w:hAnsi="Times New Roman" w:eastAsia="MS Mincho" w:cs="Times New Roman"/>
      <w:color w:val="auto"/>
      <w:kern w:val="2"/>
      <w:sz w:val="24"/>
      <w:szCs w:val="24"/>
      <w:lang w:val="en-US" w:eastAsia="ja-JP" w:bidi="ar-SA"/>
      <w14:ligatures w14:val="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lacedeInternet" w:customStyle="1">
    <w:name w:val="Enlace de Internet"/>
    <w:uiPriority w:val="99"/>
    <w:unhideWhenUsed/>
    <w:rsid w:val="00502cf7"/>
    <w:rPr>
      <w:color w:val="0563C1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7908d5"/>
    <w:rPr>
      <w:rFonts w:ascii="Times New Roman" w:hAnsi="Times New Roman" w:eastAsia="MS Mincho" w:cs="Times New Roman"/>
      <w:kern w:val="2"/>
      <w:sz w:val="24"/>
      <w:szCs w:val="24"/>
      <w:lang w:val="en-US" w:eastAsia="ja-JP"/>
      <w14:ligatures w14:val="none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908d5"/>
    <w:rPr>
      <w:rFonts w:ascii="Times New Roman" w:hAnsi="Times New Roman" w:eastAsia="MS Mincho" w:cs="Times New Roman"/>
      <w:kern w:val="2"/>
      <w:sz w:val="24"/>
      <w:szCs w:val="24"/>
      <w:lang w:val="en-US"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1200f"/>
    <w:rPr>
      <w:color w:val="605E5C"/>
      <w:shd w:fill="E1DFDD" w:val="clear"/>
    </w:rPr>
  </w:style>
  <w:style w:type="character" w:styleId="Destacado" w:customStyle="1">
    <w:name w:val="Destacado"/>
    <w:qFormat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4910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qFormat/>
    <w:rsid w:val="007a4910"/>
    <w:rPr>
      <w:rFonts w:ascii="Times New Roman" w:hAnsi="Times New Roman" w:eastAsia="MS Mincho" w:cs="Times New Roman"/>
      <w:kern w:val="2"/>
      <w:szCs w:val="20"/>
      <w:lang w:val="en-US" w:eastAsia="ja-JP"/>
      <w14:ligatures w14:val="none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7a4910"/>
    <w:rPr>
      <w:rFonts w:ascii="Times New Roman" w:hAnsi="Times New Roman" w:eastAsia="MS Mincho" w:cs="Times New Roman"/>
      <w:b/>
      <w:bCs/>
      <w:kern w:val="2"/>
      <w:szCs w:val="20"/>
      <w:lang w:val="en-US" w:eastAsia="ja-JP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908d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908d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0d7c41"/>
    <w:pPr>
      <w:widowControl w:val="false"/>
      <w:bidi w:val="0"/>
      <w:spacing w:before="0" w:after="0"/>
      <w:ind w:firstLine="480"/>
      <w:jc w:val="both"/>
    </w:pPr>
    <w:rPr>
      <w:rFonts w:ascii="Times New Roman" w:hAnsi="Times New Roman" w:eastAsia="MS Mincho" w:cs="Times New Roman"/>
      <w:color w:val="auto"/>
      <w:kern w:val="2"/>
      <w:sz w:val="24"/>
      <w:szCs w:val="24"/>
      <w:lang w:val="en-US" w:eastAsia="ja-JP" w:bidi="ar-SA"/>
      <w14:ligatures w14:val="none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7a491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7a491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LibreOffice/6.3.4.2$Windows_X86_64 LibreOffice_project/60da17e045e08f1793c57c00ba83cdfce946d0aa</Application>
  <Pages>1</Pages>
  <Words>432</Words>
  <Characters>2369</Characters>
  <CharactersWithSpaces>2788</CharactersWithSpaces>
  <Paragraphs>17</Paragraphs>
  <Company>IFJ PAN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2025-05-31T18:51:00Z</dcterms:created>
  <dc:creator>Anna Wójcik-Gargula</dc:creator>
  <dc:description/>
  <dc:language>es-ES</dc:language>
  <cp:lastModifiedBy/>
  <cp:lastPrinted>2024-12-12T14:03:00Z</cp:lastPrinted>
  <dcterms:modified xsi:type="dcterms:W3CDTF">2025-05-31T21:22:39Z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IFJ PAN</vt:lpwstr>
  </property>
  <property fmtid="{D5CDD505-2E9C-101B-9397-08002B2CF9AE}" pid="4" name="DocSecurity">
    <vt:i4>0</vt:i4>
  </property>
  <property fmtid="{D5CDD505-2E9C-101B-9397-08002B2CF9AE}" pid="5" name="GrammarlyDocumentId">
    <vt:lpwstr>54eb316e-0aad-4859-8d32-8c4e4b052723</vt:lpwstr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