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DC" w:rsidRDefault="0099244F">
      <w:pPr>
        <w:spacing w:after="200" w:line="275" w:lineRule="auto"/>
        <w:ind w:firstLine="48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Review of the marine radioecology of tritium in Japanesse co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astal waters </w:t>
      </w:r>
    </w:p>
    <w:p w:rsidR="00415CDC" w:rsidRDefault="0099244F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Tateda, Y.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</w:p>
    <w:p w:rsidR="00415CDC" w:rsidRDefault="0099244F">
      <w:pPr>
        <w:spacing w:before="240"/>
        <w:ind w:firstLine="475"/>
        <w:jc w:val="center"/>
        <w:rPr>
          <w:sz w:val="22"/>
          <w:szCs w:val="22"/>
        </w:rPr>
      </w:pPr>
      <w:r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vertAlign w:val="superscript"/>
        </w:rPr>
        <w:t>1</w:t>
      </w:r>
      <w:r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Fukushima University, 960-1296 Fukushima, Japan</w:t>
      </w:r>
    </w:p>
    <w:p w:rsidR="00415CDC" w:rsidRDefault="0099244F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e-mail: r454@ipc.fukushima-u.ac.jp</w:t>
      </w:r>
    </w:p>
    <w:p w:rsidR="00415CDC" w:rsidRPr="003B1065" w:rsidRDefault="00415CDC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12"/>
          <w:szCs w:val="14"/>
        </w:rPr>
      </w:pPr>
    </w:p>
    <w:p w:rsidR="00415CDC" w:rsidRDefault="0099244F">
      <w:pPr>
        <w:spacing w:before="240"/>
        <w:ind w:firstLine="0"/>
        <w:rPr>
          <w:rFonts w:asciiTheme="minorHAnsi" w:hAnsiTheme="minorHAnsi" w:cstheme="minorHAnsi" w:hint="eastAsia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 better uderstanding for the behaviour of tritium in m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arine ecosystem, th</w:t>
      </w:r>
      <w:r w:rsidR="003B10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 published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of 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waters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around Japan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were examined and evaluated radio-ecologically. A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fter 1960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t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ritium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radioactivity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,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originated to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atmospheric nuclear b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o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mb test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s,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as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monitored in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marine environment around Japan.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Special an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 vertical distribution of tritium was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clarified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in seswaterof 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Pacific Ocean (Miyake et al., 1968; 1969; 1970; 1971; Shimada et al., 1972; 1973; 1975). After the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last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Chinese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atmospheric nuclear bomb test in 1981,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tritium radioa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c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tivity concentratio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 in seawater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decreased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due to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radioactivity decay (Miyamoto, 2022).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After 1990,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Tritium radioactivity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levels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appeared to be stable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, being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approximately 1.0 Bq l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-1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surface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water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in Japanese coast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whereas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show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ing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variation of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level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which was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cause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d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by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nuclear facility operation and terrestrial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fresh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water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(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or underground water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)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contribution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Since the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European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nuclear fuel reprocessing plant operation w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as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known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as substantial supply source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to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adjacent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water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(Masson et al., 2005;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Hunt 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2010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; Fi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é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vet et al., 2021),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ritium measurement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ere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intensiv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ly deployed</w:t>
      </w:r>
      <w:r w:rsidR="003B10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especial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l</w:t>
      </w:r>
      <w:r w:rsidR="003B10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y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B1065"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of</w:t>
      </w:r>
      <w:r w:rsidR="003B10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seawater and biota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in front water of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f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Rokkasho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Aomori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where the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nuclear fu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 reprocessing plant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was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construct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ed</w:t>
      </w:r>
      <w:r>
        <w:rPr>
          <w:rFonts w:asciiTheme="minorHAnsi" w:eastAsia="Times New Roman" w:hAnsiTheme="minorHAnsi" w:cstheme="minorHAnsi" w:hint="eastAsia"/>
          <w:color w:val="000000" w:themeColor="text1"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As a result, t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ritium radioactivity 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in seawater and fish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increased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during the active test operation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of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March 2006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October 2008 (MERI, 2019). Concentration ratio (CR) of Tissue Free Water Tritium (TFWT) for fish increased several times greater than the usual CR 1.1 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of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the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back ground value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. Th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e CR of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O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rganically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ound Tritium (OBT) increased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slightely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. The ratio of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OBT to total tritium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(THWT+OBT)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was considered to be 0.25 by 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radioactivity observed as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maximum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cases. With regard to off Fukushima waters, the tritium radioactivity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increased to several tens of Bq l-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after the accident of the Fukushima Dai-ichi Nuclear Power Station (F1NPS). Due to 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of aftermath of the accident and the dilution 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oceanic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water, </w:t>
      </w:r>
      <w:r w:rsidR="003B1065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ritium radioactivity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decreased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after 2018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not only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in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surface water but also in fish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(MERI, 2019). After 2023, due to the public concern about the release of the water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treated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by the multi-nuclide removal equipment of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Advanced Liquid Processing System (ALP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S), the measurement of radioactivity levels of tritium in marine algae,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additional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l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y </w:t>
      </w:r>
      <w:proofErr w:type="gramStart"/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to  seawater</w:t>
      </w:r>
      <w:proofErr w:type="gramEnd"/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and fish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were deployed around coastal water of F1NPS by Tokyo Electric Power Company Holdings (TEPCO)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TEPCO also carried out aquarium experiment of rearin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marine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 algae, invertebrate and fish using the ALPS treated water (Shibata et al., 2022; 2024).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In suumary, the overall accumulated data from 1960s-2020s was explainable by the experiment derived transfer parameters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of tritium between seawater and biota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, and was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compatible to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the scientific understanding of previous studies (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Fiévet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  <w:lang w:val="fr-FR"/>
        </w:rPr>
        <w:t xml:space="preserve"> et al.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, 2021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  <w:lang w:val="fr-FR"/>
        </w:rPr>
        <w:t>;</w:t>
      </w:r>
      <w:r>
        <w:rPr>
          <w:rFonts w:asciiTheme="minorHAnsi" w:hAnsiTheme="minorHAnsi" w:cstheme="minorHAnsi" w:hint="eastAsia"/>
          <w:b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 xml:space="preserve">Tani et al., 2023).   </w:t>
      </w:r>
    </w:p>
    <w:p w:rsidR="0099244F" w:rsidRPr="0099244F" w:rsidRDefault="0099244F">
      <w:pPr>
        <w:spacing w:before="240"/>
        <w:ind w:firstLine="0"/>
        <w:rPr>
          <w:rFonts w:asciiTheme="minorHAnsi" w:hAnsiTheme="minorHAnsi" w:cstheme="minorHAnsi"/>
          <w:color w:val="000000" w:themeColor="text1"/>
          <w:sz w:val="2"/>
          <w:szCs w:val="22"/>
        </w:rPr>
      </w:pPr>
    </w:p>
    <w:p w:rsidR="00415CDC" w:rsidRDefault="00415CDC">
      <w:pPr>
        <w:spacing w:before="240"/>
        <w:ind w:firstLine="0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:rsidR="00415CDC" w:rsidRDefault="0099244F">
      <w:pPr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Reference</w:t>
      </w:r>
    </w:p>
    <w:p w:rsidR="00415CDC" w:rsidRDefault="0099244F">
      <w:pPr>
        <w:ind w:left="220" w:hangingChars="100" w:hanging="2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Fiévet , B., Bailly du Bois, P., Voiseux, C., 2021.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Concentration factors and biological half-lives for 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dynamic modelling of radionuclide transfers to marine biota in the English Channel. Sci. Total Environ. 791, 148193</w:t>
      </w:r>
    </w:p>
    <w:p w:rsidR="00415CDC" w:rsidRDefault="0099244F">
      <w:pPr>
        <w:ind w:left="220" w:hangingChars="100" w:hanging="2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Shibata, T., Ishikawa, Y., 2022, Deuterium transfer analysis including food chain from seawater into abalone. Radiation Protection Dosimetry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, 198, 1125-1130.</w:t>
      </w:r>
    </w:p>
    <w:p w:rsidR="00415CDC" w:rsidRDefault="0099244F">
      <w:pPr>
        <w:ind w:left="220" w:hangingChars="100" w:hanging="2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Shibata, T., Omizu, Y., Furuta, T., Ishizawa, N., Irino, T., Yamanaka, K., 2024, Tritium transfer from seawater into marine organisms TFWT. Radiation Protection Dosimetry, 200. 1824-1828.</w:t>
      </w:r>
    </w:p>
    <w:p w:rsidR="00415CDC" w:rsidRDefault="0099244F">
      <w:pPr>
        <w:ind w:left="220" w:hangingChars="100" w:hanging="2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Tani, T., Ishikawa, Y., 2023, A deuterium tracer e</w:t>
      </w:r>
      <w:r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xperiment for simulating accumulation and elimination of organically bound tritium in an edible flatfish, olive flounder. Sci. Total Environ. 903, 166792.</w:t>
      </w:r>
    </w:p>
    <w:sectPr w:rsidR="00415CDC">
      <w:pgSz w:w="11906" w:h="16838"/>
      <w:pgMar w:top="1417" w:right="1417" w:bottom="1417" w:left="1417" w:header="34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415CDC"/>
    <w:rsid w:val="003B1065"/>
    <w:rsid w:val="00415CDC"/>
    <w:rsid w:val="009924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sz w:val="24"/>
      <w:szCs w:val="24"/>
      <w:lang w:val="en-US" w:eastAsia="ja-JP"/>
    </w:rPr>
  </w:style>
  <w:style w:type="character" w:styleId="a4">
    <w:name w:val="Hyperlink"/>
    <w:uiPriority w:val="99"/>
    <w:unhideWhenUsed/>
    <w:rPr>
      <w:color w:val="0563C1"/>
      <w:u w:val="single"/>
      <w:shd w:val="clear" w:color="auto" w:fill="auto"/>
    </w:rPr>
  </w:style>
  <w:style w:type="paragraph" w:styleId="a5">
    <w:name w:val="header"/>
    <w:basedOn w:val="a"/>
    <w:link w:val="a6"/>
    <w:uiPriority w:val="99"/>
    <w:unhideWhenUsed/>
    <w:pPr>
      <w:tabs>
        <w:tab w:val="center" w:pos="4536"/>
        <w:tab w:val="right" w:pos="9072"/>
      </w:tabs>
    </w:pPr>
  </w:style>
  <w:style w:type="character" w:customStyle="1" w:styleId="a6">
    <w:name w:val="ヘッダー (文字)"/>
    <w:basedOn w:val="a0"/>
    <w:link w:val="a5"/>
    <w:uiPriority w:val="99"/>
    <w:rPr>
      <w:rFonts w:ascii="Times New Roman" w:eastAsia="ＭＳ 明朝" w:hAnsi="Times New Roman" w:cs="Times New Roman"/>
      <w:sz w:val="24"/>
      <w:szCs w:val="24"/>
      <w:shd w:val="clear" w:color="auto" w:fill="auto"/>
      <w:lang w:val="en-US" w:eastAsia="ja-JP"/>
    </w:rPr>
  </w:style>
  <w:style w:type="paragraph" w:styleId="a7">
    <w:name w:val="footer"/>
    <w:basedOn w:val="a"/>
    <w:link w:val="a8"/>
    <w:uiPriority w:val="99"/>
    <w:unhideWhenUsed/>
    <w:pPr>
      <w:tabs>
        <w:tab w:val="center" w:pos="4536"/>
        <w:tab w:val="right" w:pos="9072"/>
      </w:tabs>
    </w:pPr>
  </w:style>
  <w:style w:type="character" w:customStyle="1" w:styleId="a8">
    <w:name w:val="フッター (文字)"/>
    <w:basedOn w:val="a0"/>
    <w:link w:val="a7"/>
    <w:uiPriority w:val="99"/>
    <w:rPr>
      <w:rFonts w:ascii="Times New Roman" w:eastAsia="ＭＳ 明朝" w:hAnsi="Times New Roman" w:cs="Times New Roman"/>
      <w:sz w:val="24"/>
      <w:szCs w:val="24"/>
      <w:shd w:val="clear" w:color="auto" w:fill="auto"/>
      <w:lang w:val="en-US"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sz w:val="24"/>
      <w:szCs w:val="24"/>
      <w:lang w:val="en-US" w:eastAsia="ja-JP"/>
    </w:rPr>
  </w:style>
  <w:style w:type="character" w:styleId="a4">
    <w:name w:val="Hyperlink"/>
    <w:uiPriority w:val="99"/>
    <w:unhideWhenUsed/>
    <w:rPr>
      <w:color w:val="0563C1"/>
      <w:u w:val="single"/>
      <w:shd w:val="clear" w:color="auto" w:fill="auto"/>
    </w:rPr>
  </w:style>
  <w:style w:type="paragraph" w:styleId="a5">
    <w:name w:val="header"/>
    <w:basedOn w:val="a"/>
    <w:link w:val="a6"/>
    <w:uiPriority w:val="99"/>
    <w:unhideWhenUsed/>
    <w:pPr>
      <w:tabs>
        <w:tab w:val="center" w:pos="4536"/>
        <w:tab w:val="right" w:pos="9072"/>
      </w:tabs>
    </w:pPr>
  </w:style>
  <w:style w:type="character" w:customStyle="1" w:styleId="a6">
    <w:name w:val="ヘッダー (文字)"/>
    <w:basedOn w:val="a0"/>
    <w:link w:val="a5"/>
    <w:uiPriority w:val="99"/>
    <w:rPr>
      <w:rFonts w:ascii="Times New Roman" w:eastAsia="ＭＳ 明朝" w:hAnsi="Times New Roman" w:cs="Times New Roman"/>
      <w:sz w:val="24"/>
      <w:szCs w:val="24"/>
      <w:shd w:val="clear" w:color="auto" w:fill="auto"/>
      <w:lang w:val="en-US" w:eastAsia="ja-JP"/>
    </w:rPr>
  </w:style>
  <w:style w:type="paragraph" w:styleId="a7">
    <w:name w:val="footer"/>
    <w:basedOn w:val="a"/>
    <w:link w:val="a8"/>
    <w:uiPriority w:val="99"/>
    <w:unhideWhenUsed/>
    <w:pPr>
      <w:tabs>
        <w:tab w:val="center" w:pos="4536"/>
        <w:tab w:val="right" w:pos="9072"/>
      </w:tabs>
    </w:pPr>
  </w:style>
  <w:style w:type="character" w:customStyle="1" w:styleId="a8">
    <w:name w:val="フッター (文字)"/>
    <w:basedOn w:val="a0"/>
    <w:link w:val="a7"/>
    <w:uiPriority w:val="99"/>
    <w:rPr>
      <w:rFonts w:ascii="Times New Roman" w:eastAsia="ＭＳ 明朝" w:hAnsi="Times New Roman" w:cs="Times New Roman"/>
      <w:sz w:val="24"/>
      <w:szCs w:val="24"/>
      <w:shd w:val="clear" w:color="auto" w:fill="auto"/>
      <w:lang w:val="en-US"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3287</Characters>
  <Application>Microsoft Office Word</Application>
  <DocSecurity>0</DocSecurity>
  <Lines>27</Lines>
  <Paragraphs>7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IFJ PAN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Wójcik-Gargula</dc:creator>
  <cp:lastModifiedBy>YutakaTateda</cp:lastModifiedBy>
  <cp:revision>4</cp:revision>
  <dcterms:created xsi:type="dcterms:W3CDTF">2025-04-28T01:17:00Z</dcterms:created>
  <dcterms:modified xsi:type="dcterms:W3CDTF">2025-04-28T01:31:00Z</dcterms:modified>
  <cp:version>10.115.179.52889</cp:version>
</cp:coreProperties>
</file>