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7ABD13C0" w:rsidR="000D7C41" w:rsidRPr="000D7C41" w:rsidRDefault="00F26809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 w:hint="eastAsia"/>
          <w:b/>
          <w:sz w:val="28"/>
        </w:rPr>
        <w:t>Fukushima-derived radiocesium in the western North Pacific Ocean a decade after the accident</w:t>
      </w:r>
    </w:p>
    <w:p w14:paraId="2265D77A" w14:textId="0C1FE552" w:rsidR="00502CF7" w:rsidRPr="00F26809" w:rsidRDefault="00F26809" w:rsidP="00502CF7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Yuichiro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Kumamoto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*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 and Yasunori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Hamajima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</w:p>
    <w:p w14:paraId="380819B8" w14:textId="385AE6C4" w:rsidR="00502CF7" w:rsidRPr="000D7C41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F26809" w:rsidRPr="00F2680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Research Institute for Global Change, Japan Agency for Marine-Earth Science and Technology, Yokosuka, 2370061, Japa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29CF7CBD" w14:textId="3C654597" w:rsidR="00502CF7" w:rsidRPr="00F26809" w:rsidRDefault="00502CF7" w:rsidP="007908D5">
      <w:pPr>
        <w:ind w:firstLine="475"/>
        <w:jc w:val="center"/>
        <w:rPr>
          <w:rFonts w:eastAsiaTheme="minorEastAsia"/>
          <w:sz w:val="22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F26809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="00F26809" w:rsidRPr="00F2680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Low Level Radioactivity Laboratory, Kanazawa University, Nomi, 9231224, Japan</w:t>
      </w:r>
    </w:p>
    <w:p w14:paraId="5B4AA014" w14:textId="56730820" w:rsidR="00274F64" w:rsidRPr="00274F64" w:rsidRDefault="00502CF7" w:rsidP="007F375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F26809" w:rsidRPr="00274F64">
        <w:rPr>
          <w:rFonts w:asciiTheme="minorHAnsi" w:eastAsia="Times New Roman" w:hAnsiTheme="minorHAnsi" w:cstheme="minorHAnsi"/>
          <w:i/>
          <w:color w:val="000000" w:themeColor="text1"/>
          <w:sz w:val="20"/>
        </w:rPr>
        <w:t>kumamoto@jamstec.go.j</w:t>
      </w:r>
      <w:r w:rsidR="00F26809" w:rsidRPr="00274F64">
        <w:rPr>
          <w:rFonts w:asciiTheme="minorHAnsi" w:eastAsiaTheme="minorEastAsia" w:hAnsiTheme="minorHAnsi" w:cstheme="minorHAnsi" w:hint="eastAsia"/>
          <w:i/>
          <w:color w:val="000000" w:themeColor="text1"/>
          <w:sz w:val="20"/>
        </w:rPr>
        <w:t>p</w:t>
      </w:r>
      <w:r w:rsidR="00F26809">
        <w:rPr>
          <w:rFonts w:asciiTheme="minorHAnsi" w:eastAsiaTheme="minorEastAsia" w:hAnsiTheme="minorHAnsi" w:cstheme="minorHAnsi" w:hint="eastAsia"/>
          <w:i/>
          <w:color w:val="000000" w:themeColor="text1"/>
          <w:sz w:val="20"/>
        </w:rPr>
        <w:t xml:space="preserve"> </w:t>
      </w:r>
      <w:r w:rsidR="000B320E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corresponding/presenting author</w:t>
      </w:r>
    </w:p>
    <w:p w14:paraId="63469FAD" w14:textId="3F9AABF4" w:rsidR="00274F64" w:rsidRPr="006B581A" w:rsidRDefault="00274F64" w:rsidP="00274F64">
      <w:pPr>
        <w:spacing w:before="240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Introduction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　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The accident of Fukushima Dai-ichi Nuclear Power Plant (FNPP1) occurred on March 11, 2011</w:t>
      </w:r>
      <w:r w:rsidR="00A9265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, and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resulted in the release of 30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-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40 PBq radiocesium (</w:t>
      </w:r>
      <w:r w:rsidRPr="00722D9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+ </w:t>
      </w:r>
      <w:r w:rsidRPr="00722D94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Cs) into the environment. It has been estimated that 70-80% of the FNPP1-derived radiocesium was deposited and discharged in the North Pacific Ocean. 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he radiocesium deposited and discharged in the coastal area of Japan had been transported eastward to the international date line by </w:t>
      </w:r>
      <w:r w:rsidR="00B64F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summer </w:t>
      </w:r>
      <w:r w:rsidR="005609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of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2012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,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AF2C95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the North American Continent by 2015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="005056BB" w:rsidRPr="005056BB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and then the Bering Sea through the Gulf of Alaska by 2017 along with the anti-clockwise subarctic 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surface</w:t>
      </w:r>
      <w:r w:rsidR="005056BB" w:rsidRPr="005056BB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current.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4F7A49" w:rsidRPr="004F7A49">
        <w:rPr>
          <w:rFonts w:asciiTheme="minorHAnsi" w:eastAsia="Times New Roman" w:hAnsiTheme="minorHAnsi" w:cstheme="minorHAnsi"/>
          <w:color w:val="000000" w:themeColor="text1"/>
          <w:sz w:val="22"/>
        </w:rPr>
        <w:t>imultaneously</w:t>
      </w:r>
      <w:r w:rsidR="00A81F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="00AF2C95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FNPP1-derived radiocesium 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was also transported southward through </w:t>
      </w:r>
      <w:r w:rsidR="000C271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subsurface layer, 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about 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200-400 m depth </w:t>
      </w:r>
      <w:r w:rsidR="00BA4432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due to the subduction of the subtropical </w:t>
      </w:r>
      <w:r w:rsidR="0044070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mode water (STMW) </w:t>
      </w:r>
      <w:r w:rsidR="00BA4432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and central mode water</w:t>
      </w:r>
      <w:r w:rsidR="0044070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(CMW)</w:t>
      </w:r>
      <w:r w:rsidR="00BA4432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the northwestern North Pacific Ocean just after the FNPP1 accide</w:t>
      </w:r>
      <w:r w:rsidR="00245FD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nt.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4F7A49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Previous studies 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found </w:t>
      </w:r>
      <w:r w:rsidR="004F7A49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that t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he FNPP1-derived </w:t>
      </w:r>
      <w:r w:rsidR="004F7A49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6B581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is a good tracer for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the transport of the mode waters, which has not been </w:t>
      </w:r>
      <w:r w:rsidR="004F7A49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revealed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well. However, </w:t>
      </w:r>
      <w:r w:rsidR="006B581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because </w:t>
      </w:r>
      <w:r w:rsidR="004F7A4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observations of the vertical profile </w:t>
      </w:r>
      <w:r w:rsidR="006B581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are </w:t>
      </w:r>
      <w:r w:rsidR="006B581A">
        <w:rPr>
          <w:rFonts w:asciiTheme="minorHAnsi" w:eastAsiaTheme="minorEastAsia" w:hAnsiTheme="minorHAnsi" w:cstheme="minorHAnsi"/>
          <w:color w:val="000000" w:themeColor="text1"/>
          <w:sz w:val="22"/>
        </w:rPr>
        <w:t>limited</w:t>
      </w:r>
      <w:r w:rsidR="006B581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the temporal change in the FNPP1-derived radiocesium in the subsurface layers in the western North Pacific Ocean is </w:t>
      </w:r>
      <w:r w:rsidR="008F7B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un</w:t>
      </w:r>
      <w:r w:rsidR="006B581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clear.</w:t>
      </w:r>
      <w:r w:rsidR="00A81F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We measured vertical profiles of radiocesium there in 2020-2022 and discussed its temporal change a decade after the FNPP1 accident</w:t>
      </w:r>
      <w:r w:rsidR="00786E5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.</w:t>
      </w:r>
    </w:p>
    <w:p w14:paraId="25DF96C9" w14:textId="18E968BF" w:rsidR="00274F64" w:rsidRPr="005D76B1" w:rsidRDefault="00274F64" w:rsidP="00274F64">
      <w:pPr>
        <w:spacing w:before="240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Methods</w:t>
      </w:r>
      <w:r w:rsidR="005D76B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　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We collected seawater samples during the R/V "MIRAI" cruises of M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R20-05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C in October 20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20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MR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21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-0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6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November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202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1 and the R/V </w:t>
      </w:r>
      <w:r w:rsidR="00786E5B">
        <w:rPr>
          <w:rFonts w:asciiTheme="minorHAnsi" w:eastAsiaTheme="minorEastAsia" w:hAnsiTheme="minorHAnsi" w:cstheme="minorHAnsi"/>
          <w:color w:val="000000" w:themeColor="text1"/>
          <w:sz w:val="22"/>
        </w:rPr>
        <w:t>“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HAKUHO-MARU</w:t>
      </w:r>
      <w:r w:rsidR="00786E5B">
        <w:rPr>
          <w:rFonts w:asciiTheme="minorHAnsi" w:eastAsiaTheme="minorEastAsia" w:hAnsiTheme="minorHAnsi" w:cstheme="minorHAnsi"/>
          <w:color w:val="000000" w:themeColor="text1"/>
          <w:sz w:val="22"/>
        </w:rPr>
        <w:t>”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cruise of KH-22-7 in July</w:t>
      </w:r>
      <w:r w:rsidR="00786E5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-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August 2022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3F5A8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40 L of seawater was collected from the surface (10 m) to 800 m depth at 1</w:t>
      </w:r>
      <w:r w:rsidR="007A7457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</w:t>
      </w:r>
      <w:r w:rsidR="003F5A8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stations from 25 to 47</w:t>
      </w:r>
      <w:r w:rsidR="003F5A8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°N</w:t>
      </w:r>
      <w:r w:rsidR="003F5A8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and </w:t>
      </w:r>
      <w:r w:rsidR="00786E5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from </w:t>
      </w:r>
      <w:r w:rsidR="003F5A8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150 to 170</w:t>
      </w:r>
      <w:r w:rsidR="003F5A8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°</w:t>
      </w:r>
      <w:r w:rsidR="003F5A8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E.</w:t>
      </w:r>
      <w:r w:rsidR="003F5A8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Radiocesium in the seawater sample was concentrated using ammonium phosphomolybdate 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or </w:t>
      </w:r>
      <w:r w:rsidR="00722D94" w:rsidRPr="00722D94">
        <w:rPr>
          <w:rFonts w:asciiTheme="minorHAnsi" w:eastAsiaTheme="minorEastAsia" w:hAnsiTheme="minorHAnsi" w:cstheme="minorHAnsi"/>
          <w:color w:val="000000" w:themeColor="text1"/>
          <w:sz w:val="22"/>
        </w:rPr>
        <w:t>KNiFC-PAN resin</w:t>
      </w:r>
      <w:r w:rsidR="00722D9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(</w:t>
      </w:r>
      <w:r w:rsidR="00722D94" w:rsidRPr="00722D94">
        <w:rPr>
          <w:rFonts w:asciiTheme="minorHAnsi" w:eastAsiaTheme="minorEastAsia" w:hAnsiTheme="minorHAnsi" w:cstheme="minorHAnsi"/>
          <w:color w:val="000000" w:themeColor="text1"/>
          <w:sz w:val="22"/>
        </w:rPr>
        <w:t>Triskem International)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recovery rate of Cs from the seawater sample was about 95%. Activity concentrations of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and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were measured using gamma-ray spectrometers </w:t>
      </w:r>
      <w:r w:rsidR="001257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at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Kanazawa University. The uncertaint</w:t>
      </w:r>
      <w:r w:rsidR="00C2772F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ies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the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and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measurements were about 15–20% and 3–5%, respectively. The detection limits of the decay-corrected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and 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Cs concentrations were about 0.</w:t>
      </w:r>
      <w:r w:rsidR="00AF2C9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9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0.01 Bq m</w:t>
      </w:r>
      <w:r w:rsidRPr="00AF2C9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−3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, respectively.</w:t>
      </w:r>
    </w:p>
    <w:p w14:paraId="27FA8060" w14:textId="67D506A3" w:rsidR="005056BB" w:rsidRPr="00886FDF" w:rsidRDefault="00274F64" w:rsidP="00886FDF">
      <w:pPr>
        <w:spacing w:before="240"/>
        <w:ind w:firstLine="0"/>
        <w:rPr>
          <w:rFonts w:asciiTheme="minorHAnsi" w:eastAsiaTheme="minorEastAsia" w:hAnsiTheme="minorHAnsi" w:cstheme="minorHAnsi" w:hint="eastAsia"/>
          <w:color w:val="000000" w:themeColor="text1"/>
          <w:sz w:val="22"/>
        </w:rPr>
      </w:pP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Results and Discussion</w:t>
      </w:r>
      <w:r w:rsidR="005056B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　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FNPP1-derived </w:t>
      </w:r>
      <w:r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was 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still observed</w:t>
      </w:r>
      <w:r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at all the stations a decade after the accident. The vertical profile of </w:t>
      </w:r>
      <w:r w:rsidR="00E14F8E"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="00E14F8E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activity concentration decay-corrected to the FNPP1 accident date was different between</w:t>
      </w:r>
      <w:r w:rsidR="009B017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subarctic </w:t>
      </w:r>
      <w:r w:rsidR="0026149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and subtropical </w:t>
      </w:r>
      <w:r w:rsidR="00E14F8E">
        <w:rPr>
          <w:rFonts w:asciiTheme="minorHAnsi" w:eastAsiaTheme="minorEastAsia" w:hAnsiTheme="minorHAnsi" w:cstheme="minorHAnsi"/>
          <w:color w:val="000000" w:themeColor="text1"/>
          <w:sz w:val="22"/>
        </w:rPr>
        <w:t>region</w:t>
      </w:r>
      <w:r w:rsidR="0026149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The two regions </w:t>
      </w:r>
      <w:r w:rsidR="001A361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are divided by the Kuroshio Front around 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35</w:t>
      </w:r>
      <w:r w:rsidR="00E14F8E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°N</w:t>
      </w:r>
      <w:r w:rsidR="00E14F8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</w:t>
      </w:r>
      <w:r w:rsidR="001A361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In the subarctic region, </w:t>
      </w:r>
      <w:r w:rsidR="001A3616"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="001A361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Cs was</w:t>
      </w:r>
      <w:r w:rsidR="001A361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observed in the surface layer shallower than 300 m depth, correspond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ing</w:t>
      </w:r>
      <w:r w:rsidR="001A361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to the maximum depth of the winter vertical mixing. 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</w:t>
      </w:r>
      <w:r w:rsidR="00642835">
        <w:rPr>
          <w:rFonts w:asciiTheme="minorHAnsi" w:eastAsiaTheme="minorEastAsia" w:hAnsiTheme="minorHAnsi" w:cstheme="minorHAnsi"/>
          <w:color w:val="000000" w:themeColor="text1"/>
          <w:sz w:val="22"/>
        </w:rPr>
        <w:t>h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e highest concentration 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(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2.</w:t>
      </w:r>
      <w:r w:rsidR="003C724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1</w:t>
      </w:r>
      <w:r w:rsidR="00642835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Bq m</w:t>
      </w:r>
      <w:r w:rsidR="00642835" w:rsidRPr="0064283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-3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)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was observed at 200 m depth, which could not be explained by the vertical mixing but </w:t>
      </w:r>
      <w:r w:rsidR="00C2772F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by </w:t>
      </w:r>
      <w:r w:rsidR="008A74B4">
        <w:rPr>
          <w:rFonts w:asciiTheme="minorHAnsi" w:eastAsiaTheme="minorEastAsia" w:hAnsiTheme="minorHAnsi" w:cstheme="minorHAnsi"/>
          <w:color w:val="000000" w:themeColor="text1"/>
          <w:sz w:val="22"/>
        </w:rPr>
        <w:t>lateral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mixing. </w:t>
      </w:r>
      <w:r w:rsidR="007941D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We </w:t>
      </w:r>
      <w:r w:rsidR="007941D0">
        <w:rPr>
          <w:rFonts w:asciiTheme="minorHAnsi" w:eastAsiaTheme="minorEastAsia" w:hAnsiTheme="minorHAnsi" w:cstheme="minorHAnsi"/>
          <w:color w:val="000000" w:themeColor="text1"/>
          <w:sz w:val="22"/>
        </w:rPr>
        <w:t>conclude</w:t>
      </w:r>
      <w:r w:rsidR="007941D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that 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</w:t>
      </w:r>
      <w:r w:rsidR="008A74B4">
        <w:rPr>
          <w:rFonts w:asciiTheme="minorHAnsi" w:eastAsiaTheme="minorEastAsia" w:hAnsiTheme="minorHAnsi" w:cstheme="minorHAnsi"/>
          <w:color w:val="000000" w:themeColor="text1"/>
          <w:sz w:val="22"/>
        </w:rPr>
        <w:t>h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is 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highest concentration was 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derived from the return of </w:t>
      </w:r>
      <w:r w:rsidR="0042548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</w:t>
      </w:r>
      <w:r w:rsidR="006A77E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FNPP1-derived </w:t>
      </w:r>
      <w:r w:rsidR="006A77E6"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="006A77E6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Cs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along with the </w:t>
      </w:r>
      <w:r w:rsidR="006A77E6" w:rsidRPr="005056BB">
        <w:rPr>
          <w:rFonts w:asciiTheme="minorHAnsi" w:eastAsiaTheme="minorEastAsia" w:hAnsiTheme="minorHAnsi" w:cstheme="minorHAnsi"/>
          <w:color w:val="000000" w:themeColor="text1"/>
          <w:sz w:val="22"/>
        </w:rPr>
        <w:t>anti-clockwise subarctic curren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</w:t>
      </w:r>
      <w:r w:rsidR="0042548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(Kumamoto et al., 2020)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because that was 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higher than those in the subtropical region</w:t>
      </w:r>
      <w:r w:rsidR="006A77E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.</w:t>
      </w:r>
      <w:r w:rsidR="008A74B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In the subtropical region, </w:t>
      </w:r>
      <w:r w:rsidR="00642835"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="00642835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>Cs was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F956D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detected</w:t>
      </w:r>
      <w:r w:rsidR="00642835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from </w:t>
      </w:r>
      <w:r w:rsidR="00F956D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the surface to 600 m depth and the maximum concentration was observed around 400 m depth (t</w:t>
      </w:r>
      <w:r w:rsidR="00F956D9">
        <w:rPr>
          <w:rFonts w:asciiTheme="minorHAnsi" w:eastAsiaTheme="minorEastAsia" w:hAnsiTheme="minorHAnsi" w:cstheme="minorHAnsi"/>
          <w:color w:val="000000" w:themeColor="text1"/>
          <w:sz w:val="22"/>
        </w:rPr>
        <w:t>h</w:t>
      </w:r>
      <w:r w:rsidR="00F956D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e highest concentration was </w:t>
      </w:r>
      <w:r w:rsidR="003C724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2.0</w:t>
      </w:r>
      <w:r w:rsidR="00F956D9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Bq m</w:t>
      </w:r>
      <w:r w:rsidR="00F956D9" w:rsidRPr="0064283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-3</w:t>
      </w:r>
      <w:r w:rsidR="00F956D9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).</w:t>
      </w:r>
      <w:r w:rsidR="0043478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The subsurface maximum in the subtropical region was observed about 10 months after the accident, which was derived from the </w:t>
      </w:r>
      <w:r w:rsidR="003C724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subduction</w:t>
      </w:r>
      <w:r w:rsidR="0043478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of </w:t>
      </w:r>
      <w:r w:rsidR="0044070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STMW</w:t>
      </w:r>
      <w:r w:rsidR="0043478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(Kumamoto et al., 2014). </w:t>
      </w:r>
      <w:r w:rsidR="0044070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Our results indicate that </w:t>
      </w:r>
      <w:r w:rsidR="0097249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</w:t>
      </w:r>
      <w:r w:rsidR="00972490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FNPP1-derived </w:t>
      </w:r>
      <w:r w:rsidR="00972490" w:rsidRPr="00E14F8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134</w:t>
      </w:r>
      <w:r w:rsidR="00972490" w:rsidRPr="00274F6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</w:t>
      </w:r>
      <w:r w:rsidR="0097249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in </w:t>
      </w:r>
      <w:r w:rsidR="0044070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STMW subducted in March 2011 </w:t>
      </w:r>
      <w:r w:rsidR="003C724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still </w:t>
      </w:r>
      <w:r w:rsidR="00AD563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remained in the subtropical region of the western North Pacific</w:t>
      </w:r>
      <w:r w:rsidR="003C724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a decade after the accident</w:t>
      </w:r>
      <w:r w:rsidR="0097249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suggesting that </w:t>
      </w:r>
      <w:r w:rsidR="0097249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STMW</w:t>
      </w:r>
      <w:r w:rsidR="00972490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has </w:t>
      </w:r>
      <w:r w:rsidR="00CC46C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circulated with in the subtropical </w:t>
      </w:r>
      <w:r w:rsidR="00CC46C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region of the western North Pacific</w:t>
      </w:r>
      <w:r w:rsidR="00CC46C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.</w:t>
      </w:r>
    </w:p>
    <w:sectPr w:rsidR="005056BB" w:rsidRPr="00886FDF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BCEA" w14:textId="77777777" w:rsidR="00A72D4B" w:rsidRDefault="00A72D4B" w:rsidP="007908D5">
      <w:r>
        <w:separator/>
      </w:r>
    </w:p>
  </w:endnote>
  <w:endnote w:type="continuationSeparator" w:id="0">
    <w:p w14:paraId="1C6F8AB2" w14:textId="77777777" w:rsidR="00A72D4B" w:rsidRDefault="00A72D4B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FB6B" w14:textId="77777777" w:rsidR="00A72D4B" w:rsidRDefault="00A72D4B" w:rsidP="007908D5">
      <w:r>
        <w:separator/>
      </w:r>
    </w:p>
  </w:footnote>
  <w:footnote w:type="continuationSeparator" w:id="0">
    <w:p w14:paraId="0D890ACC" w14:textId="77777777" w:rsidR="00A72D4B" w:rsidRDefault="00A72D4B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C271E"/>
    <w:rsid w:val="000D7C41"/>
    <w:rsid w:val="0012578B"/>
    <w:rsid w:val="001A3616"/>
    <w:rsid w:val="001B06D8"/>
    <w:rsid w:val="001B3DA0"/>
    <w:rsid w:val="002213B7"/>
    <w:rsid w:val="00245FD1"/>
    <w:rsid w:val="0026149B"/>
    <w:rsid w:val="0027251E"/>
    <w:rsid w:val="00274F64"/>
    <w:rsid w:val="00314125"/>
    <w:rsid w:val="003C724D"/>
    <w:rsid w:val="003E6350"/>
    <w:rsid w:val="003F5A86"/>
    <w:rsid w:val="00425485"/>
    <w:rsid w:val="00434780"/>
    <w:rsid w:val="00440704"/>
    <w:rsid w:val="004C60EC"/>
    <w:rsid w:val="004E2C7A"/>
    <w:rsid w:val="004F7A49"/>
    <w:rsid w:val="00502CF7"/>
    <w:rsid w:val="005056BB"/>
    <w:rsid w:val="0056090A"/>
    <w:rsid w:val="005C72D2"/>
    <w:rsid w:val="005D76B1"/>
    <w:rsid w:val="00642835"/>
    <w:rsid w:val="006770B7"/>
    <w:rsid w:val="006A77E6"/>
    <w:rsid w:val="006B581A"/>
    <w:rsid w:val="00722D94"/>
    <w:rsid w:val="00786E5B"/>
    <w:rsid w:val="007908D5"/>
    <w:rsid w:val="00793CE7"/>
    <w:rsid w:val="007941D0"/>
    <w:rsid w:val="007A7457"/>
    <w:rsid w:val="007C46C5"/>
    <w:rsid w:val="007F3757"/>
    <w:rsid w:val="008850B2"/>
    <w:rsid w:val="00886FDF"/>
    <w:rsid w:val="008A74B4"/>
    <w:rsid w:val="008F7BBE"/>
    <w:rsid w:val="00972490"/>
    <w:rsid w:val="009B017E"/>
    <w:rsid w:val="00A1200F"/>
    <w:rsid w:val="00A14BEA"/>
    <w:rsid w:val="00A72D4B"/>
    <w:rsid w:val="00A81F0A"/>
    <w:rsid w:val="00A9265D"/>
    <w:rsid w:val="00AB5765"/>
    <w:rsid w:val="00AD563D"/>
    <w:rsid w:val="00AF2C95"/>
    <w:rsid w:val="00AF5AC0"/>
    <w:rsid w:val="00B64F94"/>
    <w:rsid w:val="00BA4432"/>
    <w:rsid w:val="00C2772F"/>
    <w:rsid w:val="00C310AF"/>
    <w:rsid w:val="00CB2FBD"/>
    <w:rsid w:val="00CC0DA9"/>
    <w:rsid w:val="00CC46C3"/>
    <w:rsid w:val="00E078D6"/>
    <w:rsid w:val="00E14F8E"/>
    <w:rsid w:val="00E30E6B"/>
    <w:rsid w:val="00ED3FFB"/>
    <w:rsid w:val="00F24662"/>
    <w:rsid w:val="00F26809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3F5A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雄一郎 熊本</cp:lastModifiedBy>
  <cp:revision>42</cp:revision>
  <cp:lastPrinted>2024-12-12T14:03:00Z</cp:lastPrinted>
  <dcterms:created xsi:type="dcterms:W3CDTF">2024-12-10T12:09:00Z</dcterms:created>
  <dcterms:modified xsi:type="dcterms:W3CDTF">2025-03-31T09:05:00Z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