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0238" w14:textId="621D6883" w:rsidR="00B17857" w:rsidRDefault="00B17857" w:rsidP="00ED7C8C">
      <w:pPr>
        <w:spacing w:before="187"/>
        <w:ind w:firstLine="475"/>
        <w:jc w:val="center"/>
        <w:rPr>
          <w:rFonts w:asciiTheme="minorHAnsi" w:hAnsiTheme="minorHAnsi" w:cstheme="minorHAnsi"/>
          <w:b/>
          <w:sz w:val="28"/>
        </w:rPr>
      </w:pPr>
      <w:r w:rsidRPr="00B17857">
        <w:rPr>
          <w:rFonts w:asciiTheme="minorHAnsi" w:hAnsiTheme="minorHAnsi" w:cstheme="minorHAnsi"/>
          <w:b/>
          <w:sz w:val="28"/>
        </w:rPr>
        <w:t xml:space="preserve">Linking </w:t>
      </w:r>
      <w:r w:rsidR="003F5197">
        <w:rPr>
          <w:rFonts w:asciiTheme="minorHAnsi" w:hAnsiTheme="minorHAnsi" w:cstheme="minorHAnsi" w:hint="eastAsia"/>
          <w:b/>
          <w:sz w:val="28"/>
        </w:rPr>
        <w:t>p</w:t>
      </w:r>
      <w:r w:rsidRPr="00B17857">
        <w:rPr>
          <w:rFonts w:asciiTheme="minorHAnsi" w:hAnsiTheme="minorHAnsi" w:cstheme="minorHAnsi"/>
          <w:b/>
          <w:sz w:val="28"/>
        </w:rPr>
        <w:t xml:space="preserve">rey </w:t>
      </w:r>
      <w:r w:rsidR="003F5197">
        <w:rPr>
          <w:rFonts w:asciiTheme="minorHAnsi" w:hAnsiTheme="minorHAnsi" w:cstheme="minorHAnsi" w:hint="eastAsia"/>
          <w:b/>
          <w:sz w:val="28"/>
        </w:rPr>
        <w:t>c</w:t>
      </w:r>
      <w:r w:rsidRPr="00B17857">
        <w:rPr>
          <w:rFonts w:asciiTheme="minorHAnsi" w:hAnsiTheme="minorHAnsi" w:cstheme="minorHAnsi"/>
          <w:b/>
          <w:sz w:val="28"/>
        </w:rPr>
        <w:t xml:space="preserve">omposition to </w:t>
      </w:r>
      <w:r w:rsidR="003F5197">
        <w:rPr>
          <w:rFonts w:asciiTheme="minorHAnsi" w:hAnsiTheme="minorHAnsi" w:cstheme="minorHAnsi" w:hint="eastAsia"/>
          <w:b/>
          <w:sz w:val="28"/>
        </w:rPr>
        <w:t>v</w:t>
      </w:r>
      <w:r w:rsidRPr="00B17857">
        <w:rPr>
          <w:rFonts w:asciiTheme="minorHAnsi" w:hAnsiTheme="minorHAnsi" w:cstheme="minorHAnsi"/>
          <w:b/>
          <w:sz w:val="28"/>
        </w:rPr>
        <w:t xml:space="preserve">ariability </w:t>
      </w:r>
      <w:r w:rsidR="003F5197">
        <w:rPr>
          <w:rFonts w:asciiTheme="minorHAnsi" w:hAnsiTheme="minorHAnsi" w:cstheme="minorHAnsi" w:hint="eastAsia"/>
          <w:b/>
          <w:sz w:val="28"/>
        </w:rPr>
        <w:t xml:space="preserve">of </w:t>
      </w:r>
      <w:proofErr w:type="spellStart"/>
      <w:r w:rsidR="003F5197">
        <w:rPr>
          <w:rFonts w:asciiTheme="minorHAnsi" w:hAnsiTheme="minorHAnsi" w:cstheme="minorHAnsi" w:hint="eastAsia"/>
          <w:b/>
          <w:sz w:val="28"/>
        </w:rPr>
        <w:t>r</w:t>
      </w:r>
      <w:r w:rsidR="003F5197" w:rsidRPr="00B17857">
        <w:rPr>
          <w:rFonts w:asciiTheme="minorHAnsi" w:hAnsiTheme="minorHAnsi" w:cstheme="minorHAnsi"/>
          <w:b/>
          <w:sz w:val="28"/>
        </w:rPr>
        <w:t>adiocesium</w:t>
      </w:r>
      <w:proofErr w:type="spellEnd"/>
      <w:r w:rsidR="003F5197" w:rsidRPr="00B17857">
        <w:rPr>
          <w:rFonts w:asciiTheme="minorHAnsi" w:hAnsiTheme="minorHAnsi" w:cstheme="minorHAnsi"/>
          <w:b/>
          <w:sz w:val="28"/>
        </w:rPr>
        <w:t xml:space="preserve"> </w:t>
      </w:r>
      <w:r w:rsidR="003F5197">
        <w:rPr>
          <w:rFonts w:asciiTheme="minorHAnsi" w:hAnsiTheme="minorHAnsi" w:cstheme="minorHAnsi" w:hint="eastAsia"/>
          <w:b/>
          <w:sz w:val="28"/>
        </w:rPr>
        <w:t xml:space="preserve">contamination </w:t>
      </w:r>
      <w:r w:rsidRPr="00B17857">
        <w:rPr>
          <w:rFonts w:asciiTheme="minorHAnsi" w:hAnsiTheme="minorHAnsi" w:cstheme="minorHAnsi"/>
          <w:b/>
          <w:sz w:val="28"/>
        </w:rPr>
        <w:t xml:space="preserve">in </w:t>
      </w:r>
      <w:proofErr w:type="spellStart"/>
      <w:r w:rsidR="003F5197">
        <w:rPr>
          <w:rFonts w:asciiTheme="minorHAnsi" w:hAnsiTheme="minorHAnsi" w:cstheme="minorHAnsi" w:hint="eastAsia"/>
          <w:b/>
          <w:sz w:val="28"/>
        </w:rPr>
        <w:t>m</w:t>
      </w:r>
      <w:r w:rsidRPr="00B17857">
        <w:rPr>
          <w:rFonts w:asciiTheme="minorHAnsi" w:hAnsiTheme="minorHAnsi" w:cstheme="minorHAnsi"/>
          <w:b/>
          <w:sz w:val="28"/>
        </w:rPr>
        <w:t>asu</w:t>
      </w:r>
      <w:proofErr w:type="spellEnd"/>
      <w:r w:rsidRPr="00B17857">
        <w:rPr>
          <w:rFonts w:asciiTheme="minorHAnsi" w:hAnsiTheme="minorHAnsi" w:cstheme="minorHAnsi"/>
          <w:b/>
          <w:sz w:val="28"/>
        </w:rPr>
        <w:t xml:space="preserve"> </w:t>
      </w:r>
      <w:r w:rsidR="003F5197">
        <w:rPr>
          <w:rFonts w:asciiTheme="minorHAnsi" w:hAnsiTheme="minorHAnsi" w:cstheme="minorHAnsi" w:hint="eastAsia"/>
          <w:b/>
          <w:sz w:val="28"/>
        </w:rPr>
        <w:t>s</w:t>
      </w:r>
      <w:r w:rsidRPr="00B17857">
        <w:rPr>
          <w:rFonts w:asciiTheme="minorHAnsi" w:hAnsiTheme="minorHAnsi" w:cstheme="minorHAnsi"/>
          <w:b/>
          <w:sz w:val="28"/>
        </w:rPr>
        <w:t xml:space="preserve">almon: Insights from DNA </w:t>
      </w:r>
      <w:r w:rsidR="00173379">
        <w:rPr>
          <w:rFonts w:asciiTheme="minorHAnsi" w:hAnsiTheme="minorHAnsi" w:cstheme="minorHAnsi" w:hint="eastAsia"/>
          <w:b/>
          <w:sz w:val="28"/>
        </w:rPr>
        <w:t>m</w:t>
      </w:r>
      <w:r w:rsidRPr="00B17857">
        <w:rPr>
          <w:rFonts w:asciiTheme="minorHAnsi" w:hAnsiTheme="minorHAnsi" w:cstheme="minorHAnsi"/>
          <w:b/>
          <w:sz w:val="28"/>
        </w:rPr>
        <w:t xml:space="preserve">etabarcoding in a </w:t>
      </w:r>
      <w:r w:rsidR="00173379">
        <w:rPr>
          <w:rFonts w:asciiTheme="minorHAnsi" w:hAnsiTheme="minorHAnsi" w:cstheme="minorHAnsi" w:hint="eastAsia"/>
          <w:b/>
          <w:sz w:val="28"/>
        </w:rPr>
        <w:t>f</w:t>
      </w:r>
      <w:r w:rsidRPr="00B17857">
        <w:rPr>
          <w:rFonts w:asciiTheme="minorHAnsi" w:hAnsiTheme="minorHAnsi" w:cstheme="minorHAnsi"/>
          <w:b/>
          <w:sz w:val="28"/>
        </w:rPr>
        <w:t xml:space="preserve">orested </w:t>
      </w:r>
      <w:r w:rsidR="00173379">
        <w:rPr>
          <w:rFonts w:asciiTheme="minorHAnsi" w:hAnsiTheme="minorHAnsi" w:cstheme="minorHAnsi" w:hint="eastAsia"/>
          <w:b/>
          <w:sz w:val="28"/>
        </w:rPr>
        <w:t>r</w:t>
      </w:r>
      <w:r w:rsidRPr="00B17857">
        <w:rPr>
          <w:rFonts w:asciiTheme="minorHAnsi" w:hAnsiTheme="minorHAnsi" w:cstheme="minorHAnsi"/>
          <w:b/>
          <w:sz w:val="28"/>
        </w:rPr>
        <w:t xml:space="preserve">iver </w:t>
      </w:r>
      <w:r w:rsidR="00173379">
        <w:rPr>
          <w:rFonts w:asciiTheme="minorHAnsi" w:hAnsiTheme="minorHAnsi" w:cstheme="minorHAnsi" w:hint="eastAsia"/>
          <w:b/>
          <w:sz w:val="28"/>
        </w:rPr>
        <w:t>s</w:t>
      </w:r>
      <w:r w:rsidRPr="00B17857">
        <w:rPr>
          <w:rFonts w:asciiTheme="minorHAnsi" w:hAnsiTheme="minorHAnsi" w:cstheme="minorHAnsi"/>
          <w:b/>
          <w:sz w:val="28"/>
        </w:rPr>
        <w:t>ystem</w:t>
      </w:r>
    </w:p>
    <w:p w14:paraId="2265D77A" w14:textId="43ED7485" w:rsidR="00502CF7" w:rsidRPr="00993204" w:rsidRDefault="006735CA" w:rsidP="00ED7C8C">
      <w:pPr>
        <w:spacing w:before="187"/>
        <w:ind w:firstLine="475"/>
        <w:jc w:val="center"/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</w:pPr>
      <w:r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Yumiko Ishii</w:t>
      </w:r>
      <w:r w:rsidR="00502CF7" w:rsidRPr="0099320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99320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,</w:t>
      </w:r>
      <w:proofErr w:type="gramStart"/>
      <w:r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2</w:t>
      </w:r>
      <w:r w:rsidR="00502CF7" w:rsidRPr="0099320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,</w:t>
      </w:r>
      <w:r w:rsidR="00502CF7" w:rsidRPr="0099320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  <w:proofErr w:type="gramEnd"/>
      <w:r w:rsidR="00502CF7" w:rsidRPr="0099320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Jaeick Jo</w:t>
      </w:r>
      <w:r w:rsidR="00991293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1,3</w:t>
      </w:r>
      <w:r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, Toshihiro Wada</w:t>
      </w:r>
      <w:r w:rsidR="00CE1FED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4</w:t>
      </w:r>
      <w:r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1B1A91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Tsutomu Kanasashi</w:t>
      </w:r>
      <w:r w:rsidR="00CE1FED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4</w:t>
      </w:r>
      <w:r w:rsidR="001B1A91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48791B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Natsuko Kondo</w:t>
      </w:r>
      <w:r w:rsidR="00991293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5</w:t>
      </w:r>
      <w:r w:rsidR="0048791B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ED7C8C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br/>
      </w:r>
      <w:r w:rsidR="0048791B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Nobuyoshi Nakajima</w:t>
      </w:r>
      <w:r w:rsidR="00991293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5</w:t>
      </w:r>
      <w:r w:rsidR="0048791B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, Masanori Tamaoki</w:t>
      </w:r>
      <w:r w:rsidR="00991293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5</w:t>
      </w:r>
      <w:r w:rsidR="0048791B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, Rie Saito</w:t>
      </w:r>
      <w:r w:rsidR="00991293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6</w:t>
      </w:r>
      <w:r w:rsidR="0048791B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, Seiji Hayashi</w:t>
      </w:r>
      <w:r w:rsidR="00CE1FED" w:rsidRPr="0099320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E56B85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,2</w:t>
      </w:r>
    </w:p>
    <w:p w14:paraId="06D29CA4" w14:textId="0D30B8A9" w:rsidR="001436A9" w:rsidRPr="00993204" w:rsidRDefault="00502CF7" w:rsidP="00915CB8">
      <w:pPr>
        <w:spacing w:before="240"/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1436A9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National Institute for Environmental Studies, Miharu, Fukushima, 963-7700, Japan</w:t>
      </w:r>
    </w:p>
    <w:p w14:paraId="29CF7CBD" w14:textId="48831222" w:rsidR="00502CF7" w:rsidRPr="00993204" w:rsidRDefault="00502CF7" w:rsidP="00915CB8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1436A9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B42B6F"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Fukushima Institute for Research, Education and Innovation</w:t>
      </w:r>
      <w:r w:rsidR="001436A9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Miharu, Fukushima, 963-7700, Japan</w:t>
      </w:r>
    </w:p>
    <w:p w14:paraId="24E1232F" w14:textId="104402A6" w:rsidR="00E043EB" w:rsidRPr="00993204" w:rsidRDefault="00823180" w:rsidP="00915CB8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 xml:space="preserve">3 </w:t>
      </w:r>
      <w:r w:rsidR="00016790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Fukushima Prefectural Centre for Environmental Creation, Miharu, Fukushima, 963-7700, Japan</w:t>
      </w:r>
    </w:p>
    <w:p w14:paraId="618B6C3E" w14:textId="3F18C904" w:rsidR="009C68CE" w:rsidRPr="00993204" w:rsidRDefault="00A058C2" w:rsidP="00915CB8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4</w:t>
      </w:r>
      <w:r w:rsidR="00E043EB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BA432F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Fukushima University</w:t>
      </w:r>
      <w:r w:rsidR="00E043EB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4F0A2E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Fukushima, Fukushima 960-1296, Japan</w:t>
      </w:r>
      <w:r w:rsidR="008102BC"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br/>
      </w:r>
      <w:r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5</w:t>
      </w:r>
      <w:r w:rsidR="00E043EB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9C68CE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National Institute for Environmental Studies, </w:t>
      </w:r>
      <w:r w:rsidR="00FF530E"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Tsukuba</w:t>
      </w:r>
      <w:r w:rsidR="009C68CE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FF530E"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Ibaraki</w:t>
      </w:r>
      <w:r w:rsidR="009C68CE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845D4F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305-8506</w:t>
      </w:r>
      <w:r w:rsidR="009C68CE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Japan</w:t>
      </w:r>
    </w:p>
    <w:p w14:paraId="0DF14FDF" w14:textId="1C1A8E9E" w:rsidR="002075D3" w:rsidRPr="002075D3" w:rsidRDefault="00A058C2" w:rsidP="002075D3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6</w:t>
      </w:r>
      <w:r w:rsidR="00E043EB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1040C9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Iwate University</w:t>
      </w:r>
      <w:r w:rsidR="001040C9"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BF3622"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Morioka</w:t>
      </w:r>
      <w:r w:rsidR="00E043EB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BF3622" w:rsidRPr="0099320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Iwate</w:t>
      </w:r>
      <w:r w:rsidR="00E043EB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</w:t>
      </w:r>
      <w:r w:rsidR="00C146BF" w:rsidRPr="00993204">
        <w:rPr>
          <w:rFonts w:asciiTheme="minorHAnsi" w:hAnsiTheme="minorHAnsi" w:cstheme="minorHAnsi"/>
        </w:rPr>
        <w:t xml:space="preserve"> </w:t>
      </w:r>
      <w:r w:rsidR="00C146BF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020-</w:t>
      </w:r>
      <w:r w:rsidR="002075D3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8550</w:t>
      </w:r>
      <w:r w:rsidR="00E043EB" w:rsidRPr="0099320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Japan</w:t>
      </w:r>
    </w:p>
    <w:p w14:paraId="3F4C8106" w14:textId="7D91CD4A" w:rsidR="00E043EB" w:rsidRPr="00112DDC" w:rsidRDefault="00E043EB" w:rsidP="009C4E74">
      <w:pPr>
        <w:ind w:firstLine="475"/>
        <w:jc w:val="center"/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</w:pPr>
    </w:p>
    <w:p w14:paraId="17F130C9" w14:textId="71277EEB" w:rsidR="00502CF7" w:rsidRPr="00993204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993204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993204">
        <w:rPr>
          <w:rFonts w:asciiTheme="minorHAnsi" w:hAnsiTheme="minorHAnsi" w:cstheme="minorHAnsi"/>
          <w:sz w:val="22"/>
        </w:rPr>
        <w:t xml:space="preserve"> </w:t>
      </w:r>
      <w:r w:rsidR="00AF5AC0" w:rsidRPr="00993204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993204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9C4E74" w:rsidRPr="00993204">
        <w:rPr>
          <w:rFonts w:asciiTheme="minorHAnsi" w:eastAsia="Times New Roman" w:hAnsiTheme="minorHAnsi" w:cstheme="minorHAnsi"/>
          <w:i/>
          <w:color w:val="000000" w:themeColor="text1"/>
          <w:sz w:val="20"/>
        </w:rPr>
        <w:t>ishii.yumiko.d3n@research.f-rei.go.jp</w:t>
      </w:r>
      <w:r w:rsidR="00634CED" w:rsidRPr="00993204">
        <w:rPr>
          <w:rFonts w:asciiTheme="minorHAnsi" w:eastAsiaTheme="minorEastAsia" w:hAnsiTheme="minorHAnsi" w:cstheme="minorHAnsi"/>
          <w:i/>
          <w:color w:val="000000" w:themeColor="text1"/>
          <w:sz w:val="20"/>
        </w:rPr>
        <w:t>,</w:t>
      </w:r>
      <w:r w:rsidR="000B320E" w:rsidRPr="00993204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 </w:t>
      </w:r>
      <w:r w:rsidRPr="00993204">
        <w:rPr>
          <w:rFonts w:asciiTheme="minorHAnsi" w:eastAsia="Times New Roman" w:hAnsiTheme="minorHAnsi" w:cstheme="minorHAnsi"/>
          <w:i/>
          <w:color w:val="000000" w:themeColor="text1"/>
          <w:sz w:val="20"/>
        </w:rPr>
        <w:t>corresponding/presenting author</w:t>
      </w:r>
    </w:p>
    <w:p w14:paraId="1AE9457F" w14:textId="77777777" w:rsidR="007908D5" w:rsidRPr="00993204" w:rsidRDefault="007908D5" w:rsidP="00502CF7">
      <w:pPr>
        <w:spacing w:before="240"/>
        <w:ind w:firstLine="475"/>
        <w:rPr>
          <w:rFonts w:asciiTheme="minorHAnsi" w:eastAsia="Times New Roman" w:hAnsiTheme="minorHAnsi" w:cstheme="minorHAnsi"/>
          <w:color w:val="000000" w:themeColor="text1"/>
        </w:rPr>
      </w:pPr>
    </w:p>
    <w:p w14:paraId="2D420F0C" w14:textId="5DFAFB4F" w:rsidR="00366B42" w:rsidRPr="00366B42" w:rsidRDefault="00366B42" w:rsidP="00366B42">
      <w:pPr>
        <w:ind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After the 2011 accident at the Fukushima Daiichi Nuclear Power Plant (FDNPP),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(¹³⁷Cs) contamination levels in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masu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 (</w:t>
      </w:r>
      <w:r w:rsidRPr="00366B42">
        <w:rPr>
          <w:rFonts w:asciiTheme="minorHAnsi" w:eastAsiaTheme="minorEastAsia" w:hAnsiTheme="minorHAnsi" w:cstheme="minorHAnsi"/>
          <w:i/>
          <w:iCs/>
          <w:color w:val="000000" w:themeColor="text1"/>
          <w:sz w:val="22"/>
        </w:rPr>
        <w:t xml:space="preserve">Oncorhynchus </w:t>
      </w:r>
      <w:proofErr w:type="spellStart"/>
      <w:r w:rsidRPr="00366B42">
        <w:rPr>
          <w:rFonts w:asciiTheme="minorHAnsi" w:eastAsiaTheme="minorEastAsia" w:hAnsiTheme="minorHAnsi" w:cstheme="minorHAnsi"/>
          <w:i/>
          <w:iCs/>
          <w:color w:val="000000" w:themeColor="text1"/>
          <w:sz w:val="22"/>
        </w:rPr>
        <w:t>masou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) have remained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high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. </w:t>
      </w:r>
      <w:r w:rsidR="009B7B73"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In forested headwater streams</w:t>
      </w:r>
      <w:r w:rsidR="009B7B7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</w:t>
      </w:r>
      <w:proofErr w:type="spellStart"/>
      <w:r w:rsidR="00C711C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m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asu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 primarily acquire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by</w:t>
      </w:r>
      <w:r w:rsidR="00F876AD"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ingesti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ng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terrestrial and aquatic insects., contamination originating from forest ecosystems strongly influences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levels in </w:t>
      </w:r>
      <w:r w:rsidR="009C27C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terrestrial and aquatic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insects, and subsequently in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masu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salmon. As a result of persistent cycling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of contamination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within forests, the decline in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concentrations in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masu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 has been remarkably slow. Given that individual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masu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 show considerable variation in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concentrations, examining the relationship between dietary composition and individual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levels provides a valuable approach for identifying major sources of forest-derived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in fish inhabiting headwater ecosystems.</w:t>
      </w:r>
    </w:p>
    <w:p w14:paraId="5A47F9CD" w14:textId="54A7C72C" w:rsidR="00366B42" w:rsidRPr="00366B42" w:rsidRDefault="00366B42" w:rsidP="0028364C">
      <w:pPr>
        <w:ind w:firstLineChars="200" w:firstLine="44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This study focused on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masu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 populations from the Ota River, a forested river system located approximately 20 km north of the FDNPP. The Ota River watershed includes upstream areas within the Difficult-to-Return Zone, where high levels of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contamination persist. We collected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masu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 along with their potential prey</w:t>
      </w:r>
      <w:r w:rsidR="00491CC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terrestrial and aquatic insects</w:t>
      </w:r>
      <w:r w:rsidR="00821B8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821B8C"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across spring, summer, autumn, and winter during 2018–2019</w:t>
      </w:r>
      <w:r w:rsidR="00D80157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and measured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concentrations in these organisms. In addition, we conducted dietary metabarcoding analyses on 114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masu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</w:t>
      </w:r>
      <w:r w:rsidR="00613D0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.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DNA was extracted from stomach contents, and PCR amplification was performed using universal primers targeting arthropod DNA, followed by high-throughput sequencing. Whe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reas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previous studies of fish feeding ecology have predominantly relied on morphological identification of stomach contents, DNA metabarcoding enables more detailed and accurate taxonomic classification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, as well as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the detection of prey items that are easily digested and otherwise difficult to identify.</w:t>
      </w:r>
    </w:p>
    <w:p w14:paraId="2B5F2185" w14:textId="465E30CD" w:rsidR="00E66DB2" w:rsidRPr="0028364C" w:rsidRDefault="00366B42" w:rsidP="00AF3B0F">
      <w:pPr>
        <w:ind w:firstLineChars="100" w:firstLine="22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Analysis of prey composition revealed that prey assemblages varied significantly with season, body size, and sampling site, and were also associated with individual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concentrations in fish.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Regarding</w:t>
      </w:r>
      <w:r w:rsidR="00F876AD"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seasonal and size-related effects on prey composition, our findings were consistent with previous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studies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,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indicating</w:t>
      </w:r>
      <w:r w:rsidR="00F876AD"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a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higher</w:t>
      </w:r>
      <w:r w:rsidR="00F876AD"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proportion of terrestrial insects in diets during summer and autumn, and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a</w:t>
      </w:r>
      <w:r w:rsidR="00F876AD"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tendency for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larger </w:t>
      </w:r>
      <w:r w:rsidR="00F876AD">
        <w:rPr>
          <w:rFonts w:asciiTheme="minorHAnsi" w:eastAsiaTheme="minorEastAsia" w:hAnsiTheme="minorHAnsi" w:cstheme="minorHAnsi"/>
          <w:color w:val="000000" w:themeColor="text1"/>
          <w:sz w:val="22"/>
        </w:rPr>
        <w:t>individuals</w:t>
      </w:r>
      <w:r w:rsidR="00E57DA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to consume </w:t>
      </w:r>
      <w:r w:rsidR="00536770">
        <w:rPr>
          <w:rFonts w:asciiTheme="minorHAnsi" w:eastAsiaTheme="minorEastAsia" w:hAnsiTheme="minorHAnsi" w:cstheme="minorHAnsi"/>
          <w:color w:val="000000" w:themeColor="text1"/>
          <w:sz w:val="22"/>
        </w:rPr>
        <w:t>more</w:t>
      </w:r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terrestrial insects. </w:t>
      </w:r>
      <w:proofErr w:type="spellStart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366B42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concentrations in terrestrial insects exhibited substantial variability, which was strongly influenced by their functional feeding groups.</w:t>
      </w:r>
      <w:r w:rsidR="00D03001" w:rsidRPr="00D03001">
        <w:t xml:space="preserve"> </w:t>
      </w:r>
      <w:r w:rsidR="00D03001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Our results suggest that variability in diet composition and </w:t>
      </w:r>
      <w:proofErr w:type="spellStart"/>
      <w:r w:rsidR="00D03001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="00D03001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="00536770">
        <w:rPr>
          <w:rFonts w:asciiTheme="minorHAnsi" w:eastAsiaTheme="minorEastAsia" w:hAnsiTheme="minorHAnsi" w:cstheme="minorHAnsi"/>
          <w:color w:val="000000" w:themeColor="text1"/>
          <w:sz w:val="22"/>
        </w:rPr>
        <w:t>level</w:t>
      </w:r>
      <w:r w:rsidR="00536770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="008B6608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of prey items </w:t>
      </w:r>
      <w:r w:rsidR="00D03001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contributed to the wide range of </w:t>
      </w:r>
      <w:proofErr w:type="spellStart"/>
      <w:r w:rsidR="00D03001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="00D03001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concentrations observed among individual </w:t>
      </w:r>
      <w:proofErr w:type="spellStart"/>
      <w:r w:rsidR="00D03001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>masu</w:t>
      </w:r>
      <w:proofErr w:type="spellEnd"/>
      <w:r w:rsidR="00D03001" w:rsidRPr="00D03001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salmon.</w:t>
      </w:r>
    </w:p>
    <w:sectPr w:rsidR="00E66DB2" w:rsidRPr="0028364C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BF33" w14:textId="77777777" w:rsidR="00B97246" w:rsidRDefault="00B97246" w:rsidP="007908D5">
      <w:r>
        <w:separator/>
      </w:r>
    </w:p>
  </w:endnote>
  <w:endnote w:type="continuationSeparator" w:id="0">
    <w:p w14:paraId="1338D997" w14:textId="77777777" w:rsidR="00B97246" w:rsidRDefault="00B97246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F866" w14:textId="77777777" w:rsidR="00B97246" w:rsidRDefault="00B97246" w:rsidP="007908D5">
      <w:r>
        <w:separator/>
      </w:r>
    </w:p>
  </w:footnote>
  <w:footnote w:type="continuationSeparator" w:id="0">
    <w:p w14:paraId="32406475" w14:textId="77777777" w:rsidR="00B97246" w:rsidRDefault="00B97246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03BC1"/>
    <w:rsid w:val="00016790"/>
    <w:rsid w:val="00025E8E"/>
    <w:rsid w:val="00027790"/>
    <w:rsid w:val="00033BD2"/>
    <w:rsid w:val="0005525E"/>
    <w:rsid w:val="000A60D3"/>
    <w:rsid w:val="000B320E"/>
    <w:rsid w:val="000D5653"/>
    <w:rsid w:val="000D7C41"/>
    <w:rsid w:val="000E1505"/>
    <w:rsid w:val="001014C3"/>
    <w:rsid w:val="001040C9"/>
    <w:rsid w:val="00106DCA"/>
    <w:rsid w:val="00107E9E"/>
    <w:rsid w:val="00112DDC"/>
    <w:rsid w:val="001436A9"/>
    <w:rsid w:val="00173379"/>
    <w:rsid w:val="001957E9"/>
    <w:rsid w:val="001B1A91"/>
    <w:rsid w:val="001F03D0"/>
    <w:rsid w:val="001F75C9"/>
    <w:rsid w:val="002075D3"/>
    <w:rsid w:val="002279E9"/>
    <w:rsid w:val="00233793"/>
    <w:rsid w:val="0028364C"/>
    <w:rsid w:val="00290F81"/>
    <w:rsid w:val="002947CA"/>
    <w:rsid w:val="002C5169"/>
    <w:rsid w:val="002C63F2"/>
    <w:rsid w:val="002D61FA"/>
    <w:rsid w:val="00345001"/>
    <w:rsid w:val="00366B42"/>
    <w:rsid w:val="003A4C1E"/>
    <w:rsid w:val="003D0CCA"/>
    <w:rsid w:val="003D159B"/>
    <w:rsid w:val="003D4484"/>
    <w:rsid w:val="003F5197"/>
    <w:rsid w:val="003F643E"/>
    <w:rsid w:val="0047106B"/>
    <w:rsid w:val="0048225C"/>
    <w:rsid w:val="0048791B"/>
    <w:rsid w:val="00491CC1"/>
    <w:rsid w:val="004B2750"/>
    <w:rsid w:val="004B454D"/>
    <w:rsid w:val="004C60EC"/>
    <w:rsid w:val="004E2C7A"/>
    <w:rsid w:val="004F0A2E"/>
    <w:rsid w:val="00502CF7"/>
    <w:rsid w:val="00536770"/>
    <w:rsid w:val="00565C4D"/>
    <w:rsid w:val="005A1544"/>
    <w:rsid w:val="005A31BB"/>
    <w:rsid w:val="005C681A"/>
    <w:rsid w:val="005E095A"/>
    <w:rsid w:val="00613981"/>
    <w:rsid w:val="00613BFB"/>
    <w:rsid w:val="00613D09"/>
    <w:rsid w:val="0062253A"/>
    <w:rsid w:val="006301FD"/>
    <w:rsid w:val="00634CED"/>
    <w:rsid w:val="006446DD"/>
    <w:rsid w:val="006735CA"/>
    <w:rsid w:val="00680306"/>
    <w:rsid w:val="006852D1"/>
    <w:rsid w:val="006F5F80"/>
    <w:rsid w:val="0070016E"/>
    <w:rsid w:val="00716243"/>
    <w:rsid w:val="00735D6D"/>
    <w:rsid w:val="0075214E"/>
    <w:rsid w:val="007908D5"/>
    <w:rsid w:val="007928B4"/>
    <w:rsid w:val="00793CE7"/>
    <w:rsid w:val="007A51F4"/>
    <w:rsid w:val="007A7766"/>
    <w:rsid w:val="007E7AA0"/>
    <w:rsid w:val="0080097E"/>
    <w:rsid w:val="0080548F"/>
    <w:rsid w:val="008102BC"/>
    <w:rsid w:val="00821B8C"/>
    <w:rsid w:val="00823180"/>
    <w:rsid w:val="00826990"/>
    <w:rsid w:val="008322B5"/>
    <w:rsid w:val="00836E63"/>
    <w:rsid w:val="00845D4F"/>
    <w:rsid w:val="00882814"/>
    <w:rsid w:val="008B6608"/>
    <w:rsid w:val="008C627C"/>
    <w:rsid w:val="008F065A"/>
    <w:rsid w:val="008F29C5"/>
    <w:rsid w:val="00913754"/>
    <w:rsid w:val="00915CB8"/>
    <w:rsid w:val="00931800"/>
    <w:rsid w:val="00956482"/>
    <w:rsid w:val="00967B2C"/>
    <w:rsid w:val="00991293"/>
    <w:rsid w:val="00993204"/>
    <w:rsid w:val="009B7B73"/>
    <w:rsid w:val="009C27C9"/>
    <w:rsid w:val="009C4E74"/>
    <w:rsid w:val="009C68CE"/>
    <w:rsid w:val="009D4B12"/>
    <w:rsid w:val="009E3936"/>
    <w:rsid w:val="009E5FEA"/>
    <w:rsid w:val="00A058C2"/>
    <w:rsid w:val="00A1200F"/>
    <w:rsid w:val="00A14BEA"/>
    <w:rsid w:val="00A17BC3"/>
    <w:rsid w:val="00A468AD"/>
    <w:rsid w:val="00A55A8C"/>
    <w:rsid w:val="00A65B6C"/>
    <w:rsid w:val="00AA3AE3"/>
    <w:rsid w:val="00AE2C5C"/>
    <w:rsid w:val="00AF3B0F"/>
    <w:rsid w:val="00AF5AC0"/>
    <w:rsid w:val="00AF5BB4"/>
    <w:rsid w:val="00B10205"/>
    <w:rsid w:val="00B17857"/>
    <w:rsid w:val="00B42B6F"/>
    <w:rsid w:val="00B8545D"/>
    <w:rsid w:val="00B86667"/>
    <w:rsid w:val="00B97246"/>
    <w:rsid w:val="00BA432F"/>
    <w:rsid w:val="00BF3622"/>
    <w:rsid w:val="00C1204F"/>
    <w:rsid w:val="00C146BF"/>
    <w:rsid w:val="00C310AF"/>
    <w:rsid w:val="00C711C5"/>
    <w:rsid w:val="00CB2FBD"/>
    <w:rsid w:val="00CC4C79"/>
    <w:rsid w:val="00CE1FED"/>
    <w:rsid w:val="00CF7304"/>
    <w:rsid w:val="00D03001"/>
    <w:rsid w:val="00D233CB"/>
    <w:rsid w:val="00D3336F"/>
    <w:rsid w:val="00D633E0"/>
    <w:rsid w:val="00D80157"/>
    <w:rsid w:val="00D84508"/>
    <w:rsid w:val="00E043EB"/>
    <w:rsid w:val="00E072F8"/>
    <w:rsid w:val="00E40C2D"/>
    <w:rsid w:val="00E56B85"/>
    <w:rsid w:val="00E57DAC"/>
    <w:rsid w:val="00E66DB2"/>
    <w:rsid w:val="00EB1E0F"/>
    <w:rsid w:val="00EB5C7E"/>
    <w:rsid w:val="00EC3E9A"/>
    <w:rsid w:val="00ED7C8C"/>
    <w:rsid w:val="00EF562F"/>
    <w:rsid w:val="00F162B3"/>
    <w:rsid w:val="00F24662"/>
    <w:rsid w:val="00F63923"/>
    <w:rsid w:val="00F71BF0"/>
    <w:rsid w:val="00F876AD"/>
    <w:rsid w:val="00FA26D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5">
    <w:name w:val="ヘッダー (文字)"/>
    <w:basedOn w:val="a0"/>
    <w:link w:val="a4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footer"/>
    <w:basedOn w:val="a"/>
    <w:link w:val="a7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7">
    <w:name w:val="フッター (文字)"/>
    <w:basedOn w:val="a0"/>
    <w:link w:val="a6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8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F876AD"/>
    <w:pPr>
      <w:spacing w:after="0" w:line="240" w:lineRule="auto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Yumiko ISHII</cp:lastModifiedBy>
  <cp:revision>3</cp:revision>
  <cp:lastPrinted>2024-12-12T14:03:00Z</cp:lastPrinted>
  <dcterms:created xsi:type="dcterms:W3CDTF">2025-04-30T04:53:00Z</dcterms:created>
  <dcterms:modified xsi:type="dcterms:W3CDTF">2025-04-30T04:53:00Z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