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9A98" w14:textId="551716BE" w:rsidR="000D7C41" w:rsidRPr="000D7C41" w:rsidRDefault="00A559EE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 w:hint="eastAsia"/>
          <w:b/>
          <w:sz w:val="28"/>
        </w:rPr>
        <w:t xml:space="preserve">Vermiculite application to inhibit </w:t>
      </w:r>
      <w:proofErr w:type="spellStart"/>
      <w:r>
        <w:rPr>
          <w:rFonts w:asciiTheme="minorHAnsi" w:hAnsiTheme="minorHAnsi" w:cstheme="minorHAnsi" w:hint="eastAsia"/>
          <w:b/>
          <w:sz w:val="28"/>
        </w:rPr>
        <w:t>radiocesium</w:t>
      </w:r>
      <w:proofErr w:type="spellEnd"/>
      <w:r>
        <w:rPr>
          <w:rFonts w:asciiTheme="minorHAnsi" w:hAnsiTheme="minorHAnsi" w:cstheme="minorHAnsi" w:hint="eastAsia"/>
          <w:b/>
          <w:sz w:val="28"/>
        </w:rPr>
        <w:t xml:space="preserve"> uptake by paddy rice</w:t>
      </w:r>
    </w:p>
    <w:p w14:paraId="2265D77A" w14:textId="734A7108" w:rsidR="00502CF7" w:rsidRPr="00A559EE" w:rsidRDefault="00A559EE" w:rsidP="00502CF7">
      <w:pPr>
        <w:spacing w:before="187"/>
        <w:ind w:firstLine="475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FUJIMURA Shigeto</w:t>
      </w:r>
      <w:proofErr w:type="gramStart"/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*</w:t>
      </w:r>
      <w:proofErr w:type="gramEnd"/>
      <w:r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NAKAO Atsushi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, EGUCHI Tetsuya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3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 xml:space="preserve"> 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and 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KUROKAWA Kohei</w:t>
      </w: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4</w:t>
      </w:r>
    </w:p>
    <w:p w14:paraId="4F0F0F92" w14:textId="03A0BC22" w:rsidR="00A01132" w:rsidRPr="00A01132" w:rsidRDefault="00502CF7" w:rsidP="00A01132">
      <w:pPr>
        <w:spacing w:before="240"/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A559EE" w:rsidRPr="00A559EE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Tohoku Agricultural Research Center, NARO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A01132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960-2156 Fukushima, Japan</w:t>
      </w:r>
    </w:p>
    <w:p w14:paraId="3335511A" w14:textId="3AED6204" w:rsidR="00A01132" w:rsidRDefault="00A01132" w:rsidP="007908D5">
      <w:pPr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vertAlign w:val="superscript"/>
        </w:rPr>
        <w:t>2</w:t>
      </w:r>
      <w:r w:rsidRPr="00A01132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Kyoto Prefectural University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606-8522 Kyoto, Japan</w:t>
      </w:r>
    </w:p>
    <w:p w14:paraId="1D9698F1" w14:textId="7EC5293E" w:rsidR="00A01132" w:rsidRDefault="00A01132" w:rsidP="007908D5">
      <w:pPr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theme="minorHAnsi" w:hint="eastAsia"/>
          <w:i/>
          <w:iCs/>
          <w:color w:val="000000" w:themeColor="text1"/>
          <w:sz w:val="20"/>
          <w:szCs w:val="20"/>
          <w:vertAlign w:val="superscript"/>
        </w:rPr>
        <w:t>3</w:t>
      </w:r>
      <w:r w:rsidRPr="00A01132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 xml:space="preserve">Institute for </w:t>
      </w:r>
      <w:proofErr w:type="spellStart"/>
      <w:r w:rsidRPr="00A01132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Agro</w:t>
      </w:r>
      <w:proofErr w:type="spellEnd"/>
      <w:r w:rsidRPr="00A01132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-Environmental Sciences</w:t>
      </w:r>
      <w:r w:rsidRPr="00A559EE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, NARO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305-8604 Tsukuba, Japan</w:t>
      </w:r>
    </w:p>
    <w:p w14:paraId="29CF7CBD" w14:textId="5366AB2A" w:rsidR="00502CF7" w:rsidRPr="007908D5" w:rsidRDefault="00A01132" w:rsidP="007908D5">
      <w:pPr>
        <w:ind w:firstLine="475"/>
        <w:jc w:val="center"/>
        <w:rPr>
          <w:sz w:val="22"/>
        </w:rPr>
      </w:pP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vertAlign w:val="superscript"/>
        </w:rPr>
        <w:t>4</w:t>
      </w:r>
      <w:r w:rsidRPr="00A01132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The James Hutton Institute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Pr="00A01132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AB15 8QH</w:t>
      </w: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 xml:space="preserve"> </w:t>
      </w:r>
      <w:r w:rsidRPr="00A01132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Aberdeen</w:t>
      </w: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 xml:space="preserve">, </w:t>
      </w:r>
      <w:r w:rsidRPr="00A01132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United Kingdom</w:t>
      </w:r>
    </w:p>
    <w:p w14:paraId="17F130C9" w14:textId="5C80A237" w:rsidR="00502CF7" w:rsidRPr="000B320E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r w:rsidR="00594188" w:rsidRPr="00594188">
        <w:rPr>
          <w:rFonts w:asciiTheme="minorHAnsi" w:eastAsia="Times New Roman" w:hAnsiTheme="minorHAnsi" w:cstheme="minorHAnsi"/>
          <w:i/>
          <w:color w:val="000000" w:themeColor="text1"/>
          <w:sz w:val="20"/>
        </w:rPr>
        <w:t>fujimura.shigeto943@naro.go.jp</w:t>
      </w:r>
      <w:r w:rsidR="000B320E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 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corresponding/presenting author</w:t>
      </w:r>
    </w:p>
    <w:p w14:paraId="1AE9457F" w14:textId="77777777" w:rsidR="007908D5" w:rsidRDefault="007908D5" w:rsidP="00502CF7">
      <w:pPr>
        <w:spacing w:before="240"/>
        <w:ind w:firstLine="475"/>
        <w:rPr>
          <w:rFonts w:eastAsia="Times New Roman"/>
          <w:color w:val="000000" w:themeColor="text1"/>
        </w:rPr>
      </w:pPr>
    </w:p>
    <w:p w14:paraId="7E435FFC" w14:textId="3AA735CB" w:rsidR="00594188" w:rsidRPr="00594188" w:rsidRDefault="009714A5" w:rsidP="00D0212C">
      <w:pPr>
        <w:spacing w:before="240"/>
        <w:ind w:firstLine="475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9714A5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In order to ensure the distribution of safe agricultural and livestock products, measures to reduce </w:t>
      </w:r>
      <w:proofErr w:type="spellStart"/>
      <w:r w:rsidRPr="009714A5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9714A5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at field level, product testing for </w:t>
      </w:r>
      <w:proofErr w:type="spellStart"/>
      <w:r w:rsidRPr="009714A5">
        <w:rPr>
          <w:rFonts w:asciiTheme="minorHAnsi" w:eastAsiaTheme="minorEastAsia" w:hAnsiTheme="minorHAnsi" w:cstheme="minorHAnsi"/>
          <w:color w:val="000000" w:themeColor="text1"/>
          <w:sz w:val="22"/>
        </w:rPr>
        <w:t>radiocesium</w:t>
      </w:r>
      <w:proofErr w:type="spellEnd"/>
      <w:r w:rsidRPr="009714A5">
        <w:rPr>
          <w:rFonts w:asciiTheme="minorHAnsi" w:eastAsiaTheme="minorEastAsia" w:hAnsiTheme="minorHAnsi" w:cstheme="minorHAnsi"/>
          <w:color w:val="000000" w:themeColor="text1"/>
          <w:sz w:val="22"/>
        </w:rPr>
        <w:t>, shipment restrictions and other measures have been combined after</w:t>
      </w:r>
      <w:r w:rsidR="007746B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t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he accident at TEPCO's Fukushima Daiichi Nuclear Power Station. </w:t>
      </w:r>
      <w:r w:rsidR="005E543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Regarding </w:t>
      </w:r>
      <w:proofErr w:type="spellStart"/>
      <w:r w:rsidR="005E5436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radio</w:t>
      </w:r>
      <w:r w:rsidR="0080022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cesium</w:t>
      </w:r>
      <w:proofErr w:type="spellEnd"/>
      <w:r w:rsidR="0080022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reduction measures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</w:t>
      </w:r>
      <w:proofErr w:type="spellStart"/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radiocesium</w:t>
      </w:r>
      <w:proofErr w:type="spellEnd"/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(Cs</w:t>
      </w:r>
      <w:r w:rsidR="00594188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-13</w:t>
      </w:r>
      <w:r w:rsidR="002F5D3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4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and Cs</w:t>
      </w:r>
      <w:r w:rsidR="00594188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-13</w:t>
      </w:r>
      <w:r w:rsidR="002F5D3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7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) is absorbed via a part of potassium transport</w:t>
      </w:r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system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594188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by plant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roots. Low </w:t>
      </w:r>
      <w:r w:rsidR="00594188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phytoavailable 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potassium content in the </w:t>
      </w:r>
      <w:r w:rsidR="00EA663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agricultural 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soil decreases antagonism </w:t>
      </w:r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to </w:t>
      </w:r>
      <w:proofErr w:type="spellStart"/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radiocesium</w:t>
      </w:r>
      <w:proofErr w:type="spellEnd"/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in the absorption phase and promotes the absorption of </w:t>
      </w:r>
      <w:proofErr w:type="spellStart"/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radiocesium</w:t>
      </w:r>
      <w:proofErr w:type="spellEnd"/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Therefore, the application of additional potassium to rice, soybean, buckwheat, and grass </w:t>
      </w:r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fields 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has been used to suppress the absorption of </w:t>
      </w:r>
      <w:proofErr w:type="spellStart"/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radiocesium</w:t>
      </w:r>
      <w:proofErr w:type="spellEnd"/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2F5D3C" w:rsidRPr="002F5D3C">
        <w:rPr>
          <w:rFonts w:asciiTheme="minorHAnsi" w:eastAsiaTheme="minorEastAsia" w:hAnsiTheme="minorHAnsi" w:cstheme="minorHAnsi"/>
          <w:color w:val="000000" w:themeColor="text1"/>
          <w:sz w:val="22"/>
        </w:rPr>
        <w:t>in Fukushima and a few surrounding prefectures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On the other hand, the application of </w:t>
      </w:r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additional 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potassium supplementation is </w:t>
      </w:r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expen</w:t>
      </w:r>
      <w:r w:rsidR="008621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s</w:t>
      </w:r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ive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 terms of labor and other costs, and in </w:t>
      </w:r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the situation 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that there have been no cases of brown rice produced in Fukushima Prefecture</w:t>
      </w:r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, Japa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n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exceeding the standard value (100 </w:t>
      </w:r>
      <w:proofErr w:type="spellStart"/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Bq</w:t>
      </w:r>
      <w:proofErr w:type="spellEnd"/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kg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  <w:vertAlign w:val="superscript"/>
        </w:rPr>
        <w:t>-1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) since 2015, the application of potassium supplementation is being discontinued in rice cultivation.</w:t>
      </w:r>
      <w:r w:rsidR="00BB588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Potassium chloride is mainly used for potassium supplementation, but there have been concerns that the </w:t>
      </w:r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phytoavailable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potassium content in the soil increased by potassium chloride is short-lived. In a field survey conducted by the authors, it was found that the exchangeable potassium content</w:t>
      </w:r>
      <w:r w:rsidR="008621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(extracted by </w:t>
      </w:r>
      <w:r w:rsidR="008621A1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1M ammonium acetate solution</w:t>
      </w:r>
      <w:r w:rsidR="008621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) 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decreased over time after the potassium supplementation was discontinued, and that the </w:t>
      </w:r>
      <w:r w:rsidR="00D0212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activity 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concentration of </w:t>
      </w:r>
      <w:proofErr w:type="spellStart"/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radiocesium</w:t>
      </w:r>
      <w:proofErr w:type="spellEnd"/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 brown rice increased in the third year after the potassium supplementation was discontinued. In this study, vermiculite, which is expected to be effective in maintaining exchangeable potassium content for a relatively long period of time due to its slow potassium release, was applied to paddy field</w:t>
      </w:r>
      <w:r w:rsidR="00BB588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s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to verify the </w:t>
      </w:r>
      <w:r w:rsidR="00BB588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sustainability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the effect.</w:t>
      </w:r>
    </w:p>
    <w:p w14:paraId="77FBA141" w14:textId="009BED97" w:rsidR="00BB588B" w:rsidRPr="00CB1883" w:rsidRDefault="00594188" w:rsidP="00594188">
      <w:pPr>
        <w:spacing w:before="240"/>
        <w:ind w:firstLine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="00BB588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field examination</w:t>
      </w:r>
      <w:r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was conducted 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in</w:t>
      </w:r>
      <w:r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farmers</w:t>
      </w:r>
      <w:r w:rsidR="001440A1">
        <w:rPr>
          <w:rFonts w:asciiTheme="minorHAnsi" w:eastAsiaTheme="minorEastAsia" w:hAnsiTheme="minorHAnsi" w:cstheme="minorHAnsi"/>
          <w:color w:val="000000" w:themeColor="text1"/>
          <w:sz w:val="22"/>
        </w:rPr>
        <w:t>’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four paddy fields located in the </w:t>
      </w:r>
      <w:r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Fukushima Prefecture. 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Three</w:t>
      </w:r>
      <w:r w:rsidR="00BB588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treatments were established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in each paddy field</w:t>
      </w:r>
      <w:r w:rsidR="00BB588B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.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Potassium was applied 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by </w:t>
      </w:r>
      <w:r w:rsidR="00F17E84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potassium chloride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with the rate of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2.7 g</w:t>
      </w:r>
      <w:r w:rsidR="00C76C5C" w:rsidRPr="00C76C5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m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  <w:vertAlign w:val="superscript"/>
        </w:rPr>
        <w:t>-2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in 2023 and 4.2 g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m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  <w:vertAlign w:val="superscript"/>
        </w:rPr>
        <w:t>-2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in 2024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in the 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control plot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. Additional potassium 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(9.9 g</w:t>
      </w:r>
      <w:r w:rsidR="00C76C5C" w:rsidRPr="00C76C5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m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  <w:vertAlign w:val="superscript"/>
        </w:rPr>
        <w:t>-2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, </w:t>
      </w:r>
      <w:r w:rsidR="00F17E84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potassium chloride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) and vermiculite (1 kg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m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  <w:vertAlign w:val="superscript"/>
        </w:rPr>
        <w:t>-2</w:t>
      </w:r>
      <w:r w:rsidR="00F813FD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, </w:t>
      </w:r>
      <w:r w:rsidR="00F813FD" w:rsidRPr="00F813FD">
        <w:rPr>
          <w:rFonts w:asciiTheme="minorHAnsi" w:eastAsiaTheme="minorEastAsia" w:hAnsiTheme="minorHAnsi" w:cstheme="minorHAnsi"/>
          <w:color w:val="000000" w:themeColor="text1"/>
          <w:sz w:val="22"/>
        </w:rPr>
        <w:t>powder generated during horticultural vermiculite production</w:t>
      </w:r>
      <w:r w:rsidR="00F813FD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) 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was applied in the 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second and third treatments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, respectively, in 2023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. 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The same rate of p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otassium 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as the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control plot</w:t>
      </w:r>
      <w:r w:rsidR="004224BE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was </w:t>
      </w:r>
      <w:r w:rsidR="001440A1">
        <w:rPr>
          <w:rFonts w:asciiTheme="minorHAnsi" w:eastAsiaTheme="minorEastAsia" w:hAnsiTheme="minorHAnsi" w:cstheme="minorHAnsi"/>
          <w:color w:val="000000" w:themeColor="text1"/>
          <w:sz w:val="22"/>
        </w:rPr>
        <w:t>also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applied 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in the second and third treatments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in both years. The vermiculite contained </w:t>
      </w:r>
      <w:r w:rsidR="00CB1883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47.2 g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CB1883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kg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  <w:vertAlign w:val="superscript"/>
        </w:rPr>
        <w:t>-1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of </w:t>
      </w:r>
      <w:r w:rsidR="00CB1883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total potassium and 1.6 g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CB1883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kg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  <w:vertAlign w:val="superscript"/>
        </w:rPr>
        <w:t>-1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of </w:t>
      </w:r>
      <w:r w:rsidR="00CB1883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exchangeable potassium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. </w:t>
      </w:r>
      <w:r w:rsidR="00CB1883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Nitrogen and phosphor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us</w:t>
      </w:r>
      <w:r w:rsidR="00CB1883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were applied at the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rate of</w:t>
      </w:r>
      <w:r w:rsidR="00CB1883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farmers' </w:t>
      </w:r>
      <w:r w:rsidR="00CB1883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practice.</w:t>
      </w:r>
    </w:p>
    <w:p w14:paraId="4769BBED" w14:textId="34EDD663" w:rsidR="00594188" w:rsidRPr="00F17E84" w:rsidRDefault="00314E2A" w:rsidP="00594188">
      <w:pPr>
        <w:spacing w:before="240"/>
        <w:ind w:firstLine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Activity c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oncentrations of Cs</w:t>
      </w:r>
      <w:r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-137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 brown rice </w:t>
      </w:r>
      <w:r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was lowe</w:t>
      </w:r>
      <w:r w:rsidR="0021750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st</w:t>
      </w:r>
      <w:r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in </w:t>
      </w:r>
      <w:r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vermiculite-applied </w:t>
      </w:r>
      <w:r w:rsidR="0021750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plot</w:t>
      </w:r>
      <w:r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21750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followed by the additional potassium-applied plot then 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control</w:t>
      </w:r>
      <w:r w:rsidR="0021750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plot in 2023. It was lowest in </w:t>
      </w:r>
      <w:r w:rsidR="0021750A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vermiculite-applied </w:t>
      </w:r>
      <w:r w:rsidR="0021750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plot 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and was similar in </w:t>
      </w:r>
      <w:r w:rsidR="0021750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the additional potassium-applied plot 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and</w:t>
      </w:r>
      <w:r w:rsidR="0021750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control</w:t>
      </w:r>
      <w:r w:rsidR="0021750A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plot 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in 2024. </w:t>
      </w:r>
      <w:r w:rsidR="00594188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Exchangeable potassium content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in soil sampled at harvest was highest in </w:t>
      </w:r>
      <w:r w:rsidR="00F17E84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vermiculite-applied 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plot and was similar in the additional potassium-applied plot and 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control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plot in 2023. It was highest in the additional potassium-applied plot followed by </w:t>
      </w:r>
      <w:r w:rsidR="00F17E84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vermiculite-applied 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plot and then </w:t>
      </w:r>
      <w:r w:rsidR="001440A1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control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plot</w:t>
      </w:r>
      <w:r w:rsidR="00F813FD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in 2024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. The results suggested that the </w:t>
      </w:r>
      <w:r w:rsidR="00F17E84">
        <w:rPr>
          <w:rFonts w:asciiTheme="minorHAnsi" w:eastAsiaTheme="minorEastAsia" w:hAnsiTheme="minorHAnsi" w:cstheme="minorHAnsi"/>
          <w:color w:val="000000" w:themeColor="text1"/>
          <w:sz w:val="22"/>
        </w:rPr>
        <w:t>inhibition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effect had long</w:t>
      </w:r>
      <w:r w:rsidR="00C76C5C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>er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-lived in </w:t>
      </w:r>
      <w:r w:rsidR="00F17E84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vermiculite-applied 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plot than in the additional </w:t>
      </w:r>
      <w:r w:rsidR="00F17E84" w:rsidRPr="00594188">
        <w:rPr>
          <w:rFonts w:asciiTheme="minorHAnsi" w:eastAsia="Times New Roman" w:hAnsiTheme="minorHAnsi" w:cstheme="minorHAnsi"/>
          <w:color w:val="000000" w:themeColor="text1"/>
          <w:sz w:val="22"/>
        </w:rPr>
        <w:t>potassium chloride</w:t>
      </w:r>
      <w:r w:rsidR="00F17E84">
        <w:rPr>
          <w:rFonts w:asciiTheme="minorHAnsi" w:eastAsiaTheme="minorEastAsia" w:hAnsiTheme="minorHAnsi" w:cstheme="minorHAnsi" w:hint="eastAsia"/>
          <w:color w:val="000000" w:themeColor="text1"/>
          <w:sz w:val="22"/>
        </w:rPr>
        <w:t xml:space="preserve"> applied plot.</w:t>
      </w:r>
    </w:p>
    <w:sectPr w:rsidR="00594188" w:rsidRPr="00F17E84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3580" w14:textId="77777777" w:rsidR="00A5467B" w:rsidRDefault="00A5467B" w:rsidP="007908D5">
      <w:r>
        <w:separator/>
      </w:r>
    </w:p>
  </w:endnote>
  <w:endnote w:type="continuationSeparator" w:id="0">
    <w:p w14:paraId="15BB3AFA" w14:textId="77777777" w:rsidR="00A5467B" w:rsidRDefault="00A5467B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064E" w14:textId="77777777" w:rsidR="00A5467B" w:rsidRDefault="00A5467B" w:rsidP="007908D5">
      <w:r>
        <w:separator/>
      </w:r>
    </w:p>
  </w:footnote>
  <w:footnote w:type="continuationSeparator" w:id="0">
    <w:p w14:paraId="097B26BB" w14:textId="77777777" w:rsidR="00A5467B" w:rsidRDefault="00A5467B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0237C"/>
    <w:rsid w:val="0002296E"/>
    <w:rsid w:val="00033BD2"/>
    <w:rsid w:val="00060F41"/>
    <w:rsid w:val="000A60D3"/>
    <w:rsid w:val="000B320E"/>
    <w:rsid w:val="000D7C41"/>
    <w:rsid w:val="00126B45"/>
    <w:rsid w:val="001440A1"/>
    <w:rsid w:val="00164FA1"/>
    <w:rsid w:val="00173326"/>
    <w:rsid w:val="00196F48"/>
    <w:rsid w:val="001A55E3"/>
    <w:rsid w:val="0021750A"/>
    <w:rsid w:val="00290168"/>
    <w:rsid w:val="002F5D3C"/>
    <w:rsid w:val="00314E2A"/>
    <w:rsid w:val="00320645"/>
    <w:rsid w:val="00396854"/>
    <w:rsid w:val="004224BE"/>
    <w:rsid w:val="004C60EC"/>
    <w:rsid w:val="004E2C7A"/>
    <w:rsid w:val="004F7DA3"/>
    <w:rsid w:val="00502CF7"/>
    <w:rsid w:val="00507415"/>
    <w:rsid w:val="005151BD"/>
    <w:rsid w:val="00594188"/>
    <w:rsid w:val="005E5436"/>
    <w:rsid w:val="0062319C"/>
    <w:rsid w:val="007059EF"/>
    <w:rsid w:val="007746B6"/>
    <w:rsid w:val="007908D5"/>
    <w:rsid w:val="00793CE7"/>
    <w:rsid w:val="007D1DE1"/>
    <w:rsid w:val="0080022A"/>
    <w:rsid w:val="008225B7"/>
    <w:rsid w:val="00825E71"/>
    <w:rsid w:val="008621A1"/>
    <w:rsid w:val="008979E8"/>
    <w:rsid w:val="008C4E89"/>
    <w:rsid w:val="009623CD"/>
    <w:rsid w:val="009714A5"/>
    <w:rsid w:val="0097530D"/>
    <w:rsid w:val="009A3C89"/>
    <w:rsid w:val="00A01132"/>
    <w:rsid w:val="00A1200F"/>
    <w:rsid w:val="00A14BEA"/>
    <w:rsid w:val="00A456A2"/>
    <w:rsid w:val="00A5467B"/>
    <w:rsid w:val="00A559EE"/>
    <w:rsid w:val="00A57F2B"/>
    <w:rsid w:val="00AF5AC0"/>
    <w:rsid w:val="00B45626"/>
    <w:rsid w:val="00B513B8"/>
    <w:rsid w:val="00B84C22"/>
    <w:rsid w:val="00BB588B"/>
    <w:rsid w:val="00BC35D6"/>
    <w:rsid w:val="00BC4DA6"/>
    <w:rsid w:val="00C05F98"/>
    <w:rsid w:val="00C310AF"/>
    <w:rsid w:val="00C324FC"/>
    <w:rsid w:val="00C61238"/>
    <w:rsid w:val="00C704ED"/>
    <w:rsid w:val="00C76C5C"/>
    <w:rsid w:val="00CB1883"/>
    <w:rsid w:val="00CB2FBD"/>
    <w:rsid w:val="00CC0DE7"/>
    <w:rsid w:val="00D0212C"/>
    <w:rsid w:val="00D058E9"/>
    <w:rsid w:val="00D0604C"/>
    <w:rsid w:val="00D53FA4"/>
    <w:rsid w:val="00D96D8E"/>
    <w:rsid w:val="00DD363B"/>
    <w:rsid w:val="00EA6634"/>
    <w:rsid w:val="00F17E84"/>
    <w:rsid w:val="00F24662"/>
    <w:rsid w:val="00F813FD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EC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CF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5">
    <w:name w:val="ヘッダー (文字)"/>
    <w:basedOn w:val="a0"/>
    <w:link w:val="a4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6">
    <w:name w:val="footer"/>
    <w:basedOn w:val="a"/>
    <w:link w:val="a7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7">
    <w:name w:val="フッター (文字)"/>
    <w:basedOn w:val="a0"/>
    <w:link w:val="a6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8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a9">
    <w:name w:val="Unresolved Mention"/>
    <w:basedOn w:val="a0"/>
    <w:uiPriority w:val="99"/>
    <w:semiHidden/>
    <w:unhideWhenUsed/>
    <w:rsid w:val="00A1200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C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704ED"/>
    <w:pPr>
      <w:spacing w:after="0" w:line="240" w:lineRule="auto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A456A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456A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456A2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56A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456A2"/>
    <w:rPr>
      <w:rFonts w:ascii="Times New Roman" w:eastAsia="ＭＳ 明朝" w:hAnsi="Times New Roman" w:cs="Times New Roman"/>
      <w:b/>
      <w:bCs/>
      <w:kern w:val="2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2025-05-09T01:53:00Z</dcterms:created>
  <dcterms:modified xsi:type="dcterms:W3CDTF">2025-05-09T01:53:00Z</dcterms:modified>
</cp:coreProperties>
</file>