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5D1EEFBE" w:rsidR="000D7C41" w:rsidRPr="000D7C41" w:rsidRDefault="00E24943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E24943">
        <w:rPr>
          <w:rFonts w:asciiTheme="minorHAnsi" w:hAnsiTheme="minorHAnsi" w:cstheme="minorHAnsi"/>
          <w:b/>
          <w:sz w:val="28"/>
        </w:rPr>
        <w:t xml:space="preserve">How past and actual releases from </w:t>
      </w:r>
      <w:r w:rsidR="00E8319A">
        <w:rPr>
          <w:rFonts w:asciiTheme="minorHAnsi" w:hAnsiTheme="minorHAnsi" w:cstheme="minorHAnsi"/>
          <w:b/>
          <w:sz w:val="28"/>
        </w:rPr>
        <w:t>a U-conversion facility</w:t>
      </w:r>
      <w:r w:rsidR="00413EB7">
        <w:rPr>
          <w:rFonts w:asciiTheme="minorHAnsi" w:hAnsiTheme="minorHAnsi" w:cstheme="minorHAnsi"/>
          <w:b/>
          <w:sz w:val="28"/>
        </w:rPr>
        <w:t xml:space="preserve"> </w:t>
      </w:r>
      <w:r w:rsidRPr="00E24943">
        <w:rPr>
          <w:rFonts w:asciiTheme="minorHAnsi" w:hAnsiTheme="minorHAnsi" w:cstheme="minorHAnsi"/>
          <w:b/>
          <w:sz w:val="28"/>
        </w:rPr>
        <w:t xml:space="preserve">impact the aquatic </w:t>
      </w:r>
      <w:r w:rsidR="00535924" w:rsidRPr="00E24943">
        <w:rPr>
          <w:rFonts w:asciiTheme="minorHAnsi" w:hAnsiTheme="minorHAnsi" w:cstheme="minorHAnsi"/>
          <w:b/>
          <w:sz w:val="28"/>
        </w:rPr>
        <w:t>environment</w:t>
      </w:r>
      <w:r w:rsidR="00535924">
        <w:rPr>
          <w:rFonts w:asciiTheme="minorHAnsi" w:hAnsiTheme="minorHAnsi" w:cstheme="minorHAnsi"/>
          <w:b/>
          <w:sz w:val="28"/>
        </w:rPr>
        <w:t>?</w:t>
      </w:r>
    </w:p>
    <w:p w14:paraId="2265D77A" w14:textId="3CD42CF7" w:rsidR="00502CF7" w:rsidRPr="00535924" w:rsidRDefault="00E506B6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Christelle Antonelli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,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fr-FR"/>
        </w:rPr>
        <w:t>1,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*</w:t>
      </w:r>
      <w:r w:rsidR="004E50FB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Laurent Pourcelot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,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fr-FR"/>
        </w:rPr>
        <w:t>1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 xml:space="preserve"> and </w:t>
      </w:r>
      <w:r w:rsidR="004E50FB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fr-FR"/>
        </w:rPr>
        <w:t>Béatrice Boulet</w:t>
      </w:r>
      <w:r w:rsidR="00502CF7" w:rsidRPr="00535924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fr-FR"/>
        </w:rPr>
        <w:t>2</w:t>
      </w:r>
    </w:p>
    <w:p w14:paraId="380819B8" w14:textId="3B239759" w:rsidR="00502CF7" w:rsidRPr="00EB6848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  <w:lang w:val="fr-FR"/>
        </w:rPr>
        <w:t>1</w:t>
      </w:r>
      <w:r w:rsidR="006C531B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 xml:space="preserve">Autorité de </w:t>
      </w:r>
      <w:r w:rsidR="000918E7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Sureté</w:t>
      </w:r>
      <w:r w:rsidR="006C531B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 xml:space="preserve"> Nucléaire et de Radioprotection </w:t>
      </w:r>
      <w:r w:rsidR="000918E7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–</w:t>
      </w:r>
      <w:r w:rsidR="006C531B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="000918E7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PSE-ENV/SERPEN – Bât 625, 13115 Saint-Paul-lez-Durance, France</w:t>
      </w:r>
    </w:p>
    <w:p w14:paraId="29CF7CBD" w14:textId="19C76BC4" w:rsidR="00502CF7" w:rsidRPr="000918E7" w:rsidRDefault="00502CF7" w:rsidP="007908D5">
      <w:pPr>
        <w:ind w:firstLine="475"/>
        <w:jc w:val="center"/>
        <w:rPr>
          <w:sz w:val="22"/>
          <w:lang w:val="fr-FR"/>
        </w:rPr>
      </w:pPr>
      <w:r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  <w:lang w:val="fr-FR"/>
        </w:rPr>
        <w:t>2</w:t>
      </w:r>
      <w:r w:rsidR="000918E7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 xml:space="preserve">Autorité de Sureté Nucléaire et de Radioprotection – PSE-ENV/SAME/LMRE – Le Bois des Rames, </w:t>
      </w:r>
      <w:r w:rsidR="00807097" w:rsidRP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9</w:t>
      </w:r>
      <w:r w:rsidR="0080709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1400</w:t>
      </w:r>
      <w:r w:rsidR="0080709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="00EB684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fr-FR"/>
        </w:rPr>
        <w:t>Orsay, France</w:t>
      </w:r>
    </w:p>
    <w:p w14:paraId="17F130C9" w14:textId="3B11C0A8" w:rsidR="00502CF7" w:rsidRPr="000918E7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lang w:val="it-IT"/>
        </w:rPr>
      </w:pPr>
      <w:r w:rsidRPr="000918E7">
        <w:rPr>
          <w:rFonts w:asciiTheme="minorHAnsi" w:eastAsia="Times New Roman" w:hAnsiTheme="minorHAnsi" w:cstheme="minorHAnsi"/>
          <w:color w:val="000000" w:themeColor="text1"/>
          <w:sz w:val="20"/>
          <w:lang w:val="it-IT"/>
        </w:rPr>
        <w:t>*</w:t>
      </w:r>
      <w:r w:rsidR="00AF5AC0" w:rsidRPr="000918E7">
        <w:rPr>
          <w:rFonts w:asciiTheme="minorHAnsi" w:hAnsiTheme="minorHAnsi" w:cstheme="minorHAnsi"/>
          <w:sz w:val="22"/>
          <w:lang w:val="it-IT"/>
        </w:rPr>
        <w:t xml:space="preserve"> </w:t>
      </w:r>
      <w:r w:rsidR="00AF5AC0" w:rsidRPr="000918E7">
        <w:rPr>
          <w:rFonts w:asciiTheme="minorHAnsi" w:eastAsia="Times New Roman" w:hAnsiTheme="minorHAnsi" w:cstheme="minorHAnsi"/>
          <w:i/>
          <w:color w:val="000000" w:themeColor="text1"/>
          <w:sz w:val="20"/>
          <w:lang w:val="it-IT"/>
        </w:rPr>
        <w:t>e-mail</w:t>
      </w:r>
      <w:r w:rsidRPr="000918E7">
        <w:rPr>
          <w:rFonts w:asciiTheme="minorHAnsi" w:eastAsia="Times New Roman" w:hAnsiTheme="minorHAnsi" w:cstheme="minorHAnsi"/>
          <w:i/>
          <w:color w:val="000000" w:themeColor="text1"/>
          <w:sz w:val="20"/>
          <w:lang w:val="it-IT"/>
        </w:rPr>
        <w:t xml:space="preserve">: </w:t>
      </w:r>
      <w:r w:rsidR="00E24943" w:rsidRPr="000918E7">
        <w:rPr>
          <w:rFonts w:asciiTheme="minorHAnsi" w:eastAsia="Times New Roman" w:hAnsiTheme="minorHAnsi" w:cstheme="minorHAnsi"/>
          <w:i/>
          <w:color w:val="000000" w:themeColor="text1"/>
          <w:sz w:val="20"/>
          <w:lang w:val="it-IT"/>
        </w:rPr>
        <w:t>christelle.antonelli</w:t>
      </w:r>
      <w:r w:rsidRPr="000918E7">
        <w:rPr>
          <w:rFonts w:asciiTheme="minorHAnsi" w:eastAsia="Times New Roman" w:hAnsiTheme="minorHAnsi" w:cstheme="minorHAnsi"/>
          <w:i/>
          <w:color w:val="000000" w:themeColor="text1"/>
          <w:sz w:val="20"/>
          <w:lang w:val="it-IT"/>
        </w:rPr>
        <w:t>@</w:t>
      </w:r>
      <w:r w:rsidR="00E24943" w:rsidRPr="000918E7">
        <w:rPr>
          <w:rFonts w:asciiTheme="minorHAnsi" w:eastAsia="Times New Roman" w:hAnsiTheme="minorHAnsi" w:cstheme="minorHAnsi"/>
          <w:i/>
          <w:color w:val="000000" w:themeColor="text1"/>
          <w:sz w:val="20"/>
          <w:lang w:val="it-IT"/>
        </w:rPr>
        <w:t>asnr.fr</w:t>
      </w:r>
    </w:p>
    <w:p w14:paraId="1AE9457F" w14:textId="77777777" w:rsidR="007908D5" w:rsidRPr="000918E7" w:rsidRDefault="007908D5" w:rsidP="00502CF7">
      <w:pPr>
        <w:spacing w:before="240"/>
        <w:ind w:firstLine="475"/>
        <w:rPr>
          <w:rFonts w:eastAsia="Times New Roman"/>
          <w:color w:val="000000" w:themeColor="text1"/>
          <w:lang w:val="it-IT"/>
        </w:rPr>
      </w:pPr>
    </w:p>
    <w:p w14:paraId="6548FAE3" w14:textId="0A2BB076" w:rsidR="00725B3E" w:rsidRDefault="00E8319A" w:rsidP="004D6736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237EFB">
        <w:rPr>
          <w:rFonts w:asciiTheme="minorHAnsi" w:hAnsiTheme="minorHAnsi" w:cstheme="minorHAnsi"/>
          <w:bCs/>
          <w:sz w:val="22"/>
          <w:szCs w:val="22"/>
        </w:rPr>
        <w:t>A U-conversion facility</w:t>
      </w:r>
      <w:r w:rsidR="00E8790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>located in the south of France</w:t>
      </w:r>
      <w:r w:rsidR="00E8790F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is designed to purify </w:t>
      </w:r>
      <w:r w:rsid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uranium from 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>“yellow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cake” </w:t>
      </w:r>
      <w:r w:rsidR="00116125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i.e. 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>uranium ores concentrate</w:t>
      </w:r>
      <w:r w:rsidR="00116125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>and to convert U into UF</w:t>
      </w:r>
      <w:r w:rsidR="004D6736" w:rsidRPr="00237EFB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4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>. S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ince the beginning of the conversion activity in the early 1960s, the </w:t>
      </w:r>
      <w:r w:rsidR="00170F2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conversion 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process </w:t>
      </w:r>
      <w:r w:rsidR="00237EFB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>has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produced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amounts of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nitrate liquid effluents</w:t>
      </w:r>
      <w:r w:rsid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stored in 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>ponds</w:t>
      </w:r>
      <w:r w:rsidR="00170F2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surrounding conversion workshops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Currently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>, the storage ponds contain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="00703F2B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>350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>000 m</w:t>
      </w:r>
      <w:r w:rsidR="00413EB7" w:rsidRPr="00CE33D9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3</w:t>
      </w:r>
      <w:r w:rsidR="00413EB7" w:rsidRPr="00413EB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nitrate-bearing liquid effluents.</w:t>
      </w:r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491AB0">
        <w:rPr>
          <w:rFonts w:asciiTheme="minorHAnsi" w:eastAsia="Times New Roman" w:hAnsiTheme="minorHAnsi" w:cstheme="minorHAnsi"/>
          <w:color w:val="000000" w:themeColor="text1"/>
          <w:sz w:val="22"/>
        </w:rPr>
        <w:t>The main radionuclides stored in these ponds are uranium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isotopes, </w:t>
      </w:r>
      <w:r w:rsidR="00B46EB2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0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>Th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234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</w:rPr>
        <w:t>T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h,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226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>Ra,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B46EB2" w:rsidRPr="00237E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>Sr,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99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Tc,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Pu,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241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 and </w:t>
      </w:r>
      <w:r w:rsidR="00C63FFC" w:rsidRPr="00C63FF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241</w:t>
      </w:r>
      <w:r w:rsidR="00C63FFC">
        <w:rPr>
          <w:rFonts w:asciiTheme="minorHAnsi" w:eastAsia="Times New Roman" w:hAnsiTheme="minorHAnsi" w:cstheme="minorHAnsi"/>
          <w:color w:val="000000" w:themeColor="text1"/>
          <w:sz w:val="22"/>
        </w:rPr>
        <w:t>Am</w:t>
      </w:r>
      <w:r w:rsidR="0047098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725B3E">
        <w:rPr>
          <w:rFonts w:asciiTheme="minorHAnsi" w:eastAsia="Times New Roman" w:hAnsiTheme="minorHAnsi" w:cstheme="minorHAnsi"/>
          <w:color w:val="000000" w:themeColor="text1"/>
          <w:sz w:val="22"/>
        </w:rPr>
        <w:t>The presence of artificial radionuclides is due to the conversion of irradiated uranium from spent nuclear fuel</w:t>
      </w:r>
      <w:r w:rsidR="00DC00DB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725B3E">
        <w:rPr>
          <w:rFonts w:asciiTheme="minorHAnsi" w:eastAsia="Times New Roman" w:hAnsiTheme="minorHAnsi" w:cstheme="minorHAnsi"/>
          <w:color w:val="000000" w:themeColor="text1"/>
          <w:sz w:val="22"/>
        </w:rPr>
        <w:t>, between 1960-1982.</w:t>
      </w:r>
    </w:p>
    <w:p w14:paraId="0849B21E" w14:textId="3EBEF556" w:rsidR="00CE33D9" w:rsidRDefault="00470982" w:rsidP="004D6736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>Previous studies underline the role of wind in disseminatin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g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radioactive droplets</w:t>
      </w:r>
      <w:r w:rsidR="00E8790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particles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the terrestrial environment located around the site. This process </w:t>
      </w:r>
      <w:r w:rsidR="004E420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could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also </w:t>
      </w:r>
      <w:r w:rsidR="004E420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be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involved in the </w:t>
      </w:r>
      <w:r w:rsidR="00E8790F">
        <w:rPr>
          <w:rFonts w:asciiTheme="minorHAnsi" w:eastAsia="Times New Roman" w:hAnsiTheme="minorHAnsi" w:cstheme="minorHAnsi"/>
          <w:color w:val="000000" w:themeColor="text1"/>
          <w:sz w:val="22"/>
        </w:rPr>
        <w:t>delivery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radionuclides into the aquatic environment. 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>For more than 15 years c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urrent site discharges 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into the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>canal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no longer include 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industrial 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>effluent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but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consist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mainly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rainwater collected on 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whole </w:t>
      </w:r>
      <w:r w:rsidR="00703F2B" w:rsidRPr="00703F2B">
        <w:rPr>
          <w:rFonts w:asciiTheme="minorHAnsi" w:eastAsia="Times New Roman" w:hAnsiTheme="minorHAnsi" w:cstheme="minorHAnsi"/>
          <w:color w:val="000000" w:themeColor="text1"/>
          <w:sz w:val="22"/>
        </w:rPr>
        <w:t>site</w:t>
      </w:r>
      <w:r w:rsidR="004D6736" w:rsidRP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which still contains substantial uranium activity</w:t>
      </w:r>
      <w:r w:rsidR="00703F2B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Thereafter</w:t>
      </w:r>
      <w:r w:rsidR="00725B3E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4D673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</w:t>
      </w:r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>canal flows down in</w:t>
      </w:r>
      <w:r w:rsidR="00322739">
        <w:rPr>
          <w:rFonts w:asciiTheme="minorHAnsi" w:eastAsia="Times New Roman" w:hAnsiTheme="minorHAnsi" w:cstheme="minorHAnsi"/>
          <w:color w:val="000000" w:themeColor="text1"/>
          <w:sz w:val="22"/>
        </w:rPr>
        <w:t>to</w:t>
      </w:r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</w:t>
      </w:r>
      <w:proofErr w:type="spellStart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>Bages</w:t>
      </w:r>
      <w:proofErr w:type="spellEnd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lagoon </w:t>
      </w:r>
      <w:proofErr w:type="spellStart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>wich</w:t>
      </w:r>
      <w:proofErr w:type="spellEnd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proofErr w:type="gramStart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>is connect</w:t>
      </w:r>
      <w:r w:rsidR="00B46EB2">
        <w:rPr>
          <w:rFonts w:asciiTheme="minorHAnsi" w:eastAsia="Times New Roman" w:hAnsiTheme="minorHAnsi" w:cstheme="minorHAnsi"/>
          <w:color w:val="000000" w:themeColor="text1"/>
          <w:sz w:val="22"/>
        </w:rPr>
        <w:t>ed</w:t>
      </w:r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with</w:t>
      </w:r>
      <w:proofErr w:type="gramEnd"/>
      <w:r w:rsidR="00CE33D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Mediterranean Sea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</w:p>
    <w:p w14:paraId="749F530E" w14:textId="7B1113BC" w:rsidR="00116125" w:rsidRDefault="00CE33D9" w:rsidP="000B320E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 2023-2024, ASNR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conducted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specific study around this 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U-conversion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facility </w:t>
      </w:r>
      <w:r w:rsidR="00D50C10">
        <w:rPr>
          <w:rFonts w:asciiTheme="minorHAnsi" w:eastAsia="Times New Roman" w:hAnsiTheme="minorHAnsi" w:cstheme="minorHAnsi"/>
          <w:color w:val="000000" w:themeColor="text1"/>
          <w:sz w:val="22"/>
        </w:rPr>
        <w:t>to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assess the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radiological stat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us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the aquatic environment in addition to 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other 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studies </w:t>
      </w:r>
      <w:r w:rsidR="00DC00DB">
        <w:rPr>
          <w:rFonts w:asciiTheme="minorHAnsi" w:eastAsia="Times New Roman" w:hAnsiTheme="minorHAnsi" w:cstheme="minorHAnsi"/>
          <w:color w:val="000000" w:themeColor="text1"/>
          <w:sz w:val="22"/>
        </w:rPr>
        <w:t>carried out in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atmospheric and terrestrial environment</w:t>
      </w:r>
      <w:r w:rsidR="00DC00DB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Various 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>types of</w:t>
      </w:r>
      <w:r w:rsidR="0032273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environmental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indicators were sample</w:t>
      </w:r>
      <w:r w:rsidR="00322739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channels and in the Bage</w:t>
      </w:r>
      <w:r w:rsidR="0097438A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lagoon: surface water</w:t>
      </w:r>
      <w:r w:rsidR="00322739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A4157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sediments, aquatic plants, fishes and mollusks. </w:t>
      </w:r>
      <w:r w:rsidR="00295C8E" w:rsidRP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Measured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r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adionuclides </w:t>
      </w:r>
      <w:r w:rsidR="00295C8E" w:rsidRPr="00295C8E">
        <w:rPr>
          <w:rFonts w:asciiTheme="minorHAnsi" w:eastAsia="Times New Roman" w:hAnsiTheme="minorHAnsi" w:cstheme="minorHAnsi"/>
          <w:color w:val="000000" w:themeColor="text1"/>
          <w:sz w:val="22"/>
        </w:rPr>
        <w:t>included those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involved in the conversion of the “yellow cake” such as natural uranium and main </w:t>
      </w:r>
      <w:r w:rsidR="00B53423" w:rsidRPr="00237E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238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 decay products. In addition, the legacy of the conversion of irradiated uranium </w:t>
      </w:r>
      <w:r w:rsidR="00FF7D9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namely the </w:t>
      </w:r>
      <w:r w:rsidR="00B5342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artificial radionuclides </w:t>
      </w:r>
      <w:r w:rsid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cited above were also measured. The aim of this communication is to </w:t>
      </w:r>
      <w:r w:rsidR="00116125" w:rsidRP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assess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both</w:t>
      </w:r>
      <w:r w:rsidR="00116125" w:rsidRP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impact of current discharges downstream in the canal, </w:t>
      </w:r>
      <w:r w:rsidR="00295C8E">
        <w:rPr>
          <w:rFonts w:asciiTheme="minorHAnsi" w:eastAsia="Times New Roman" w:hAnsiTheme="minorHAnsi" w:cstheme="minorHAnsi"/>
          <w:color w:val="000000" w:themeColor="text1"/>
          <w:sz w:val="22"/>
        </w:rPr>
        <w:t>and</w:t>
      </w:r>
      <w:r w:rsidR="00116125" w:rsidRP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persistence of </w:t>
      </w:r>
      <w:r w:rsidR="001161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116125" w:rsidRPr="00116125">
        <w:rPr>
          <w:rFonts w:asciiTheme="minorHAnsi" w:eastAsia="Times New Roman" w:hAnsiTheme="minorHAnsi" w:cstheme="minorHAnsi"/>
          <w:color w:val="000000" w:themeColor="text1"/>
          <w:sz w:val="22"/>
        </w:rPr>
        <w:t>past discharges into the lagoon.</w:t>
      </w:r>
    </w:p>
    <w:sectPr w:rsidR="00116125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FE85" w14:textId="77777777" w:rsidR="00F76E25" w:rsidRDefault="00F76E25" w:rsidP="007908D5">
      <w:r>
        <w:separator/>
      </w:r>
    </w:p>
  </w:endnote>
  <w:endnote w:type="continuationSeparator" w:id="0">
    <w:p w14:paraId="43E5D480" w14:textId="77777777" w:rsidR="00F76E25" w:rsidRDefault="00F76E25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5F56" w14:textId="77777777" w:rsidR="00F76E25" w:rsidRDefault="00F76E25" w:rsidP="007908D5">
      <w:r>
        <w:separator/>
      </w:r>
    </w:p>
  </w:footnote>
  <w:footnote w:type="continuationSeparator" w:id="0">
    <w:p w14:paraId="43E8A63B" w14:textId="77777777" w:rsidR="00F76E25" w:rsidRDefault="00F76E25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694"/>
    <w:rsid w:val="00033BD2"/>
    <w:rsid w:val="00084144"/>
    <w:rsid w:val="000918E7"/>
    <w:rsid w:val="000A60D3"/>
    <w:rsid w:val="000B320E"/>
    <w:rsid w:val="000D7C41"/>
    <w:rsid w:val="00116125"/>
    <w:rsid w:val="00170F27"/>
    <w:rsid w:val="00237EFB"/>
    <w:rsid w:val="0027063D"/>
    <w:rsid w:val="00295C8E"/>
    <w:rsid w:val="002B3FD0"/>
    <w:rsid w:val="00311959"/>
    <w:rsid w:val="00322739"/>
    <w:rsid w:val="003E2575"/>
    <w:rsid w:val="00413EB7"/>
    <w:rsid w:val="00442D50"/>
    <w:rsid w:val="00470982"/>
    <w:rsid w:val="00491AB0"/>
    <w:rsid w:val="004C60EC"/>
    <w:rsid w:val="004D6736"/>
    <w:rsid w:val="004E2C7A"/>
    <w:rsid w:val="004E4202"/>
    <w:rsid w:val="004E50FB"/>
    <w:rsid w:val="00502CF7"/>
    <w:rsid w:val="00535924"/>
    <w:rsid w:val="005660C0"/>
    <w:rsid w:val="005D6947"/>
    <w:rsid w:val="006307DC"/>
    <w:rsid w:val="00644A68"/>
    <w:rsid w:val="006B5243"/>
    <w:rsid w:val="006C531B"/>
    <w:rsid w:val="00703F2B"/>
    <w:rsid w:val="00725B3E"/>
    <w:rsid w:val="007908D5"/>
    <w:rsid w:val="00793CE7"/>
    <w:rsid w:val="007D320B"/>
    <w:rsid w:val="00807097"/>
    <w:rsid w:val="009638DA"/>
    <w:rsid w:val="0097438A"/>
    <w:rsid w:val="00977B32"/>
    <w:rsid w:val="009F0F50"/>
    <w:rsid w:val="009F5829"/>
    <w:rsid w:val="009F7E6B"/>
    <w:rsid w:val="00A1200F"/>
    <w:rsid w:val="00A14BEA"/>
    <w:rsid w:val="00A331FE"/>
    <w:rsid w:val="00A41572"/>
    <w:rsid w:val="00AB6103"/>
    <w:rsid w:val="00AF5AC0"/>
    <w:rsid w:val="00B15493"/>
    <w:rsid w:val="00B46EB2"/>
    <w:rsid w:val="00B53423"/>
    <w:rsid w:val="00B72A42"/>
    <w:rsid w:val="00B76D54"/>
    <w:rsid w:val="00C310AF"/>
    <w:rsid w:val="00C35426"/>
    <w:rsid w:val="00C63FFC"/>
    <w:rsid w:val="00C90089"/>
    <w:rsid w:val="00CA2EAC"/>
    <w:rsid w:val="00CB2FBD"/>
    <w:rsid w:val="00CE33D9"/>
    <w:rsid w:val="00D337B9"/>
    <w:rsid w:val="00D45450"/>
    <w:rsid w:val="00D47EBA"/>
    <w:rsid w:val="00D50C10"/>
    <w:rsid w:val="00D75CAA"/>
    <w:rsid w:val="00DA0169"/>
    <w:rsid w:val="00DC00DB"/>
    <w:rsid w:val="00E24943"/>
    <w:rsid w:val="00E376AC"/>
    <w:rsid w:val="00E506B6"/>
    <w:rsid w:val="00E813C7"/>
    <w:rsid w:val="00E8319A"/>
    <w:rsid w:val="00E8790F"/>
    <w:rsid w:val="00EB6848"/>
    <w:rsid w:val="00F24662"/>
    <w:rsid w:val="00F6410B"/>
    <w:rsid w:val="00F76E2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CCEF"/>
  <w15:chartTrackingRefBased/>
  <w15:docId w15:val="{3A4566F2-4C70-452B-B5A7-C675AA6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02CF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ansinterligne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8319A"/>
    <w:pPr>
      <w:spacing w:after="0" w:line="240" w:lineRule="auto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ANTONELLI Christelle</cp:lastModifiedBy>
  <cp:revision>3</cp:revision>
  <cp:lastPrinted>2024-12-12T14:03:00Z</cp:lastPrinted>
  <dcterms:created xsi:type="dcterms:W3CDTF">2025-04-25T14:39:00Z</dcterms:created>
  <dcterms:modified xsi:type="dcterms:W3CDTF">2025-04-29T12:53:00Z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