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BC63" w14:textId="5BCB03EC" w:rsidR="009D29A5" w:rsidRPr="00E852FB" w:rsidRDefault="00305286" w:rsidP="007E21D2">
      <w:pPr>
        <w:jc w:val="center"/>
        <w:rPr>
          <w:rFonts w:ascii="Calibri" w:hAnsi="Calibri" w:cs="Calibri"/>
          <w:b/>
          <w:bCs/>
          <w:lang w:val="en-US"/>
        </w:rPr>
      </w:pPr>
      <w:r w:rsidRPr="00E71C1C">
        <w:rPr>
          <w:rFonts w:ascii="Calibri" w:hAnsi="Calibri" w:cs="Calibri"/>
          <w:b/>
          <w:bCs/>
          <w:sz w:val="24"/>
          <w:szCs w:val="24"/>
          <w:lang w:val="en-US"/>
        </w:rPr>
        <w:t xml:space="preserve">Behavior and distribution of </w:t>
      </w:r>
      <w:r w:rsidR="001D2E0E" w:rsidRPr="001D2E0E">
        <w:rPr>
          <w:rFonts w:ascii="Calibri" w:hAnsi="Calibri" w:cs="Calibri"/>
          <w:b/>
          <w:bCs/>
          <w:sz w:val="24"/>
          <w:szCs w:val="24"/>
          <w:vertAlign w:val="superscript"/>
          <w:lang w:val="en-US"/>
        </w:rPr>
        <w:t>210</w:t>
      </w:r>
      <w:r w:rsidR="001D2E0E" w:rsidRPr="001D2E0E">
        <w:rPr>
          <w:rFonts w:ascii="Calibri" w:hAnsi="Calibri" w:cs="Calibri"/>
          <w:b/>
          <w:bCs/>
          <w:sz w:val="24"/>
          <w:szCs w:val="24"/>
          <w:lang w:val="en-US"/>
        </w:rPr>
        <w:t xml:space="preserve">Po </w:t>
      </w:r>
      <w:r w:rsidRPr="001D2E0E">
        <w:rPr>
          <w:rFonts w:ascii="Calibri" w:hAnsi="Calibri" w:cs="Calibri"/>
          <w:b/>
          <w:bCs/>
          <w:sz w:val="24"/>
          <w:szCs w:val="24"/>
          <w:lang w:val="en-US"/>
        </w:rPr>
        <w:t>i</w:t>
      </w:r>
      <w:r w:rsidRPr="00E71C1C">
        <w:rPr>
          <w:rFonts w:ascii="Calibri" w:hAnsi="Calibri" w:cs="Calibri"/>
          <w:b/>
          <w:bCs/>
          <w:sz w:val="24"/>
          <w:szCs w:val="24"/>
          <w:lang w:val="en-US"/>
        </w:rPr>
        <w:t>n brackish aquatic ecosystem of Uruguay</w:t>
      </w:r>
    </w:p>
    <w:p w14:paraId="0F3FC47E" w14:textId="732C3642" w:rsidR="00C648B8" w:rsidRPr="003A443F" w:rsidRDefault="00C648B8" w:rsidP="00C648B8">
      <w:pPr>
        <w:pStyle w:val="Authors"/>
        <w:snapToGrid w:val="0"/>
        <w:rPr>
          <w:rFonts w:ascii="Calibri" w:hAnsi="Calibri" w:cs="Calibri"/>
          <w:i/>
          <w:iCs/>
          <w:sz w:val="22"/>
          <w:szCs w:val="22"/>
        </w:rPr>
      </w:pPr>
      <w:r w:rsidRPr="003A443F">
        <w:rPr>
          <w:rFonts w:ascii="Calibri" w:hAnsi="Calibri" w:cs="Calibri"/>
          <w:i/>
          <w:iCs/>
          <w:sz w:val="22"/>
          <w:szCs w:val="22"/>
        </w:rPr>
        <w:t>C. Bañobre</w:t>
      </w:r>
      <w:r w:rsidRPr="003A443F">
        <w:rPr>
          <w:rFonts w:ascii="Calibri" w:hAnsi="Calibri" w:cs="Calibri"/>
          <w:i/>
          <w:iCs/>
          <w:sz w:val="22"/>
          <w:szCs w:val="22"/>
          <w:vertAlign w:val="superscript"/>
        </w:rPr>
        <w:t>1</w:t>
      </w:r>
      <w:r w:rsidRPr="003A443F">
        <w:rPr>
          <w:rFonts w:ascii="Calibri" w:hAnsi="Calibri" w:cs="Calibri"/>
          <w:i/>
          <w:iCs/>
          <w:sz w:val="22"/>
          <w:szCs w:val="22"/>
        </w:rPr>
        <w:t>,  L. Fornaro</w:t>
      </w:r>
      <w:r w:rsidRPr="003A443F">
        <w:rPr>
          <w:rFonts w:ascii="Calibri" w:hAnsi="Calibri" w:cs="Calibri"/>
          <w:i/>
          <w:iCs/>
          <w:sz w:val="22"/>
          <w:szCs w:val="22"/>
          <w:vertAlign w:val="superscript"/>
        </w:rPr>
        <w:t>1</w:t>
      </w:r>
      <w:r w:rsidRPr="003A443F">
        <w:rPr>
          <w:rFonts w:ascii="Calibri" w:hAnsi="Calibri" w:cs="Calibri"/>
          <w:i/>
          <w:iCs/>
          <w:sz w:val="22"/>
          <w:szCs w:val="22"/>
        </w:rPr>
        <w:t xml:space="preserve">, and </w:t>
      </w:r>
      <w:r w:rsidRPr="003A443F">
        <w:rPr>
          <w:rFonts w:ascii="Calibri" w:hAnsi="Calibri" w:cs="Calibri"/>
          <w:b/>
          <w:bCs/>
          <w:i/>
          <w:iCs/>
          <w:sz w:val="22"/>
          <w:szCs w:val="22"/>
        </w:rPr>
        <w:t>R. García-Tenorio</w:t>
      </w:r>
      <w:r w:rsidRPr="003A443F">
        <w:rPr>
          <w:rFonts w:ascii="Calibri" w:hAnsi="Calibri" w:cs="Calibri"/>
          <w:b/>
          <w:bCs/>
          <w:i/>
          <w:iCs/>
          <w:sz w:val="22"/>
          <w:szCs w:val="22"/>
          <w:vertAlign w:val="superscript"/>
        </w:rPr>
        <w:t>2</w:t>
      </w:r>
      <w:r w:rsidR="003A443F">
        <w:rPr>
          <w:rFonts w:ascii="Calibri" w:hAnsi="Calibri" w:cs="Calibri"/>
          <w:b/>
          <w:bCs/>
          <w:i/>
          <w:iCs/>
          <w:sz w:val="22"/>
          <w:szCs w:val="22"/>
          <w:vertAlign w:val="superscript"/>
        </w:rPr>
        <w:t>*</w:t>
      </w:r>
    </w:p>
    <w:p w14:paraId="1C61C49B" w14:textId="77777777" w:rsidR="00C648B8" w:rsidRPr="00E852FB" w:rsidRDefault="00C648B8" w:rsidP="00C648B8">
      <w:pPr>
        <w:pStyle w:val="Authors"/>
        <w:snapToGrid w:val="0"/>
        <w:rPr>
          <w:rFonts w:ascii="Calibri" w:hAnsi="Calibri" w:cs="Calibri"/>
          <w:sz w:val="22"/>
          <w:szCs w:val="22"/>
        </w:rPr>
      </w:pPr>
    </w:p>
    <w:p w14:paraId="6DC035F0" w14:textId="10414439" w:rsidR="00C648B8" w:rsidRPr="00E852FB" w:rsidRDefault="00C648B8" w:rsidP="001F71F2">
      <w:pPr>
        <w:pStyle w:val="NormalWeb"/>
        <w:keepNext/>
        <w:spacing w:before="0" w:line="240" w:lineRule="auto"/>
        <w:jc w:val="center"/>
        <w:rPr>
          <w:rFonts w:ascii="Calibri" w:hAnsi="Calibri" w:cs="Calibri"/>
          <w:i/>
          <w:iCs/>
          <w:sz w:val="22"/>
          <w:szCs w:val="22"/>
          <w:vertAlign w:val="superscript"/>
          <w:lang w:val="es-UY" w:bidi="hi-IN"/>
        </w:rPr>
      </w:pPr>
      <w:r w:rsidRPr="00E852FB">
        <w:rPr>
          <w:rFonts w:ascii="Calibri" w:hAnsi="Calibri" w:cs="Calibri"/>
          <w:i/>
          <w:iCs/>
          <w:sz w:val="22"/>
          <w:szCs w:val="22"/>
          <w:vertAlign w:val="superscript"/>
          <w:lang w:val="es-UY"/>
        </w:rPr>
        <w:t>1</w:t>
      </w:r>
      <w:r w:rsidRPr="00E852FB">
        <w:rPr>
          <w:rFonts w:ascii="Calibri" w:hAnsi="Calibri" w:cs="Calibri"/>
          <w:i/>
          <w:iCs/>
          <w:sz w:val="22"/>
          <w:szCs w:val="22"/>
          <w:lang w:val="es-UY"/>
        </w:rPr>
        <w:t xml:space="preserve"> Centro Universitario Regional del Este, Universidad de la República,</w:t>
      </w:r>
      <w:r w:rsidR="00543A82">
        <w:rPr>
          <w:rFonts w:ascii="Calibri" w:hAnsi="Calibri" w:cs="Calibri"/>
          <w:i/>
          <w:iCs/>
          <w:sz w:val="22"/>
          <w:szCs w:val="22"/>
          <w:lang w:val="es-UY"/>
        </w:rPr>
        <w:t xml:space="preserve"> </w:t>
      </w:r>
      <w:r w:rsidRPr="00E852FB">
        <w:rPr>
          <w:rFonts w:ascii="Calibri" w:hAnsi="Calibri" w:cs="Calibri"/>
          <w:i/>
          <w:iCs/>
          <w:sz w:val="22"/>
          <w:szCs w:val="22"/>
          <w:lang w:val="es-UY"/>
        </w:rPr>
        <w:t>Uruguay.</w:t>
      </w:r>
    </w:p>
    <w:p w14:paraId="01E22AE8" w14:textId="3397910A" w:rsidR="00C648B8" w:rsidRPr="00161750" w:rsidRDefault="00C648B8" w:rsidP="001F71F2">
      <w:pPr>
        <w:pStyle w:val="NormalWeb"/>
        <w:spacing w:before="0"/>
        <w:jc w:val="center"/>
        <w:rPr>
          <w:rFonts w:ascii="Calibri" w:hAnsi="Calibri" w:cs="Calibri"/>
          <w:sz w:val="22"/>
          <w:szCs w:val="22"/>
          <w:lang w:val="en-US"/>
        </w:rPr>
      </w:pPr>
      <w:r w:rsidRPr="00161750">
        <w:rPr>
          <w:rFonts w:ascii="Calibri" w:hAnsi="Calibri" w:cs="Calibri"/>
          <w:i/>
          <w:iCs/>
          <w:sz w:val="22"/>
          <w:szCs w:val="22"/>
          <w:vertAlign w:val="superscript"/>
          <w:lang w:val="en-US" w:bidi="hi-IN"/>
        </w:rPr>
        <w:t>2</w:t>
      </w:r>
      <w:r w:rsidRPr="00161750">
        <w:rPr>
          <w:rFonts w:ascii="Calibri" w:hAnsi="Calibri" w:cs="Calibri"/>
          <w:i/>
          <w:iCs/>
          <w:sz w:val="22"/>
          <w:szCs w:val="22"/>
          <w:lang w:val="en-US" w:bidi="hi-IN"/>
        </w:rPr>
        <w:t xml:space="preserve"> </w:t>
      </w:r>
      <w:r w:rsidR="004F11F1" w:rsidRPr="00161750">
        <w:rPr>
          <w:rFonts w:ascii="Calibri" w:hAnsi="Calibri" w:cs="Calibri"/>
          <w:i/>
          <w:iCs/>
          <w:sz w:val="22"/>
          <w:szCs w:val="22"/>
          <w:lang w:val="en-US" w:bidi="hi-IN"/>
        </w:rPr>
        <w:t>Department of Applied Physics II, E.T.S.A. Seville, Spain</w:t>
      </w:r>
      <w:r w:rsidR="00161750">
        <w:rPr>
          <w:rFonts w:ascii="Calibri" w:hAnsi="Calibri" w:cs="Calibri"/>
          <w:i/>
          <w:iCs/>
          <w:sz w:val="22"/>
          <w:szCs w:val="22"/>
          <w:lang w:val="en-US" w:bidi="hi-IN"/>
        </w:rPr>
        <w:t>.</w:t>
      </w:r>
    </w:p>
    <w:p w14:paraId="403524EA" w14:textId="362D0256" w:rsidR="004E532A" w:rsidRDefault="003A443F">
      <w:pPr>
        <w:rPr>
          <w:rFonts w:ascii="Calibri" w:hAnsi="Calibri" w:cs="Calibri"/>
          <w:lang w:val="it-IT"/>
        </w:rPr>
      </w:pPr>
      <w:r w:rsidRPr="003A443F">
        <w:rPr>
          <w:rFonts w:ascii="Calibri" w:hAnsi="Calibri" w:cs="Calibri"/>
          <w:lang w:val="it-IT"/>
        </w:rPr>
        <w:t xml:space="preserve">                                                             * e-mail presenting author:</w:t>
      </w:r>
      <w:r>
        <w:rPr>
          <w:rFonts w:ascii="Calibri" w:hAnsi="Calibri" w:cs="Calibri"/>
          <w:lang w:val="it-IT"/>
        </w:rPr>
        <w:t xml:space="preserve"> </w:t>
      </w:r>
      <w:r w:rsidRPr="003A443F">
        <w:rPr>
          <w:rFonts w:ascii="Calibri" w:hAnsi="Calibri" w:cs="Calibri"/>
          <w:lang w:val="it-IT"/>
        </w:rPr>
        <w:t>gtenorio@</w:t>
      </w:r>
      <w:r>
        <w:rPr>
          <w:rFonts w:ascii="Calibri" w:hAnsi="Calibri" w:cs="Calibri"/>
          <w:lang w:val="it-IT"/>
        </w:rPr>
        <w:t>us.es</w:t>
      </w:r>
    </w:p>
    <w:p w14:paraId="28BEAE2F" w14:textId="77777777" w:rsidR="003A443F" w:rsidRPr="003A443F" w:rsidRDefault="003A443F">
      <w:pPr>
        <w:rPr>
          <w:rFonts w:ascii="Calibri" w:hAnsi="Calibri" w:cs="Calibri"/>
          <w:lang w:val="it-IT"/>
        </w:rPr>
      </w:pPr>
    </w:p>
    <w:p w14:paraId="19B65444" w14:textId="73A76683" w:rsidR="00AB5376" w:rsidRPr="00D76E47" w:rsidRDefault="003E25F4" w:rsidP="00A00B14">
      <w:pPr>
        <w:spacing w:line="288" w:lineRule="auto"/>
        <w:jc w:val="both"/>
        <w:rPr>
          <w:rFonts w:ascii="Calibri" w:hAnsi="Calibri" w:cs="Calibri"/>
          <w:lang w:val="en-US"/>
        </w:rPr>
      </w:pPr>
      <w:r w:rsidRPr="00D76E47">
        <w:rPr>
          <w:rFonts w:ascii="Calibri" w:hAnsi="Calibri" w:cs="Calibri"/>
          <w:lang w:val="en-US"/>
        </w:rPr>
        <w:t xml:space="preserve">The study of the presence, distribution, and transfer of natural </w:t>
      </w:r>
      <w:proofErr w:type="gramStart"/>
      <w:r w:rsidRPr="00D76E47">
        <w:rPr>
          <w:rFonts w:ascii="Calibri" w:hAnsi="Calibri" w:cs="Calibri"/>
          <w:lang w:val="en-US"/>
        </w:rPr>
        <w:t>radionuclides</w:t>
      </w:r>
      <w:proofErr w:type="gramEnd"/>
      <w:r w:rsidRPr="00D76E47">
        <w:rPr>
          <w:rFonts w:ascii="Calibri" w:hAnsi="Calibri" w:cs="Calibri"/>
          <w:lang w:val="en-US"/>
        </w:rPr>
        <w:t xml:space="preserve"> in the environment is becoming increasingly important. Specifically, the uranium-238</w:t>
      </w:r>
      <w:r w:rsidR="001D2E0E">
        <w:rPr>
          <w:rFonts w:ascii="Calibri" w:hAnsi="Calibri" w:cs="Calibri"/>
          <w:lang w:val="en-US"/>
        </w:rPr>
        <w:t xml:space="preserve"> (</w:t>
      </w:r>
      <w:r w:rsidR="001D2E0E" w:rsidRPr="001D2E0E">
        <w:rPr>
          <w:rFonts w:ascii="Calibri" w:hAnsi="Calibri" w:cs="Calibri"/>
          <w:vertAlign w:val="superscript"/>
          <w:lang w:val="en-US"/>
        </w:rPr>
        <w:t>238</w:t>
      </w:r>
      <w:r w:rsidR="001D2E0E">
        <w:rPr>
          <w:rFonts w:ascii="Calibri" w:hAnsi="Calibri" w:cs="Calibri"/>
          <w:lang w:val="en-US"/>
        </w:rPr>
        <w:t>U)</w:t>
      </w:r>
      <w:r w:rsidRPr="00D76E47">
        <w:rPr>
          <w:rFonts w:ascii="Calibri" w:hAnsi="Calibri" w:cs="Calibri"/>
          <w:lang w:val="en-US"/>
        </w:rPr>
        <w:t>, uranium-235</w:t>
      </w:r>
      <w:r w:rsidR="001D2E0E">
        <w:rPr>
          <w:rFonts w:ascii="Calibri" w:hAnsi="Calibri" w:cs="Calibri"/>
          <w:lang w:val="en-US"/>
        </w:rPr>
        <w:t xml:space="preserve"> (</w:t>
      </w:r>
      <w:r w:rsidR="001D2E0E" w:rsidRPr="001D2E0E">
        <w:rPr>
          <w:rFonts w:ascii="Calibri" w:hAnsi="Calibri" w:cs="Calibri"/>
          <w:vertAlign w:val="superscript"/>
          <w:lang w:val="en-US"/>
        </w:rPr>
        <w:t>235</w:t>
      </w:r>
      <w:r w:rsidR="001D2E0E">
        <w:rPr>
          <w:rFonts w:ascii="Calibri" w:hAnsi="Calibri" w:cs="Calibri"/>
          <w:lang w:val="en-US"/>
        </w:rPr>
        <w:t>U)</w:t>
      </w:r>
      <w:r w:rsidRPr="00D76E47">
        <w:rPr>
          <w:rFonts w:ascii="Calibri" w:hAnsi="Calibri" w:cs="Calibri"/>
          <w:lang w:val="en-US"/>
        </w:rPr>
        <w:t>, and thorium-232</w:t>
      </w:r>
      <w:r w:rsidR="001D2E0E">
        <w:rPr>
          <w:rFonts w:ascii="Calibri" w:hAnsi="Calibri" w:cs="Calibri"/>
          <w:lang w:val="en-US"/>
        </w:rPr>
        <w:t xml:space="preserve"> (</w:t>
      </w:r>
      <w:r w:rsidR="001D2E0E" w:rsidRPr="001D2E0E">
        <w:rPr>
          <w:rFonts w:ascii="Calibri" w:hAnsi="Calibri" w:cs="Calibri"/>
          <w:vertAlign w:val="superscript"/>
          <w:lang w:val="en-US"/>
        </w:rPr>
        <w:t>232</w:t>
      </w:r>
      <w:r w:rsidR="001D2E0E">
        <w:rPr>
          <w:rFonts w:ascii="Calibri" w:hAnsi="Calibri" w:cs="Calibri"/>
          <w:lang w:val="en-US"/>
        </w:rPr>
        <w:t>Th)</w:t>
      </w:r>
      <w:r w:rsidRPr="00D76E47">
        <w:rPr>
          <w:rFonts w:ascii="Calibri" w:hAnsi="Calibri" w:cs="Calibri"/>
          <w:lang w:val="en-US"/>
        </w:rPr>
        <w:t xml:space="preserve"> decay chains provide a set of radionuclides with a wide range of half-lives, whose evolution in different natural compartments provides information about the behavior of an ecosystem.</w:t>
      </w:r>
    </w:p>
    <w:p w14:paraId="3638292B" w14:textId="03670DC9" w:rsidR="006F5747" w:rsidRPr="00D76E47" w:rsidRDefault="003E25F4" w:rsidP="00A00B14">
      <w:pPr>
        <w:spacing w:line="288" w:lineRule="auto"/>
        <w:jc w:val="both"/>
        <w:rPr>
          <w:rFonts w:ascii="Calibri" w:hAnsi="Calibri" w:cs="Calibri"/>
          <w:lang w:val="en-US"/>
        </w:rPr>
      </w:pPr>
      <w:r w:rsidRPr="00D76E47">
        <w:rPr>
          <w:rFonts w:ascii="Calibri" w:hAnsi="Calibri" w:cs="Calibri"/>
          <w:lang w:val="en-US"/>
        </w:rPr>
        <w:t>Polonium-210</w:t>
      </w:r>
      <w:r w:rsidR="001D2E0E">
        <w:rPr>
          <w:rFonts w:ascii="Calibri" w:hAnsi="Calibri" w:cs="Calibri"/>
          <w:lang w:val="en-US"/>
        </w:rPr>
        <w:t xml:space="preserve"> (</w:t>
      </w:r>
      <w:r w:rsidR="001D2E0E" w:rsidRPr="00D76E47">
        <w:rPr>
          <w:rFonts w:ascii="Calibri" w:hAnsi="Calibri" w:cs="Calibri"/>
          <w:vertAlign w:val="superscript"/>
          <w:lang w:val="en-US"/>
        </w:rPr>
        <w:t>210</w:t>
      </w:r>
      <w:r w:rsidR="001D2E0E" w:rsidRPr="00D76E47">
        <w:rPr>
          <w:rFonts w:ascii="Calibri" w:hAnsi="Calibri" w:cs="Calibri"/>
          <w:lang w:val="en-US"/>
        </w:rPr>
        <w:t>Po</w:t>
      </w:r>
      <w:r w:rsidR="001D2E0E">
        <w:rPr>
          <w:rFonts w:ascii="Calibri" w:hAnsi="Calibri" w:cs="Calibri"/>
          <w:lang w:val="en-US"/>
        </w:rPr>
        <w:t>)</w:t>
      </w:r>
      <w:r w:rsidRPr="00D76E47">
        <w:rPr>
          <w:rFonts w:ascii="Calibri" w:hAnsi="Calibri" w:cs="Calibri"/>
          <w:lang w:val="en-US"/>
        </w:rPr>
        <w:t xml:space="preserve"> is a natural radionuclide belonging to the </w:t>
      </w:r>
      <w:r w:rsidR="001D2E0E" w:rsidRPr="0031083F">
        <w:rPr>
          <w:rFonts w:ascii="Calibri" w:hAnsi="Calibri" w:cs="Calibri"/>
          <w:vertAlign w:val="superscript"/>
          <w:lang w:val="en-US"/>
        </w:rPr>
        <w:t>238</w:t>
      </w:r>
      <w:r w:rsidR="001D2E0E">
        <w:rPr>
          <w:rFonts w:ascii="Calibri" w:hAnsi="Calibri" w:cs="Calibri"/>
          <w:lang w:val="en-US"/>
        </w:rPr>
        <w:t>U</w:t>
      </w:r>
      <w:r w:rsidRPr="00D76E47">
        <w:rPr>
          <w:rFonts w:ascii="Calibri" w:hAnsi="Calibri" w:cs="Calibri"/>
          <w:lang w:val="en-US"/>
        </w:rPr>
        <w:t xml:space="preserve"> series, characterized by its high radiotoxicity and its ability to bioaccumulate in certain tissues, transferring through the food chain and contributing to the dose received by both marine biota and humans through the consumption of marine products. Various studies conducted in the marine environment show that </w:t>
      </w:r>
      <w:r w:rsidR="001D2E0E" w:rsidRPr="00D76E47">
        <w:rPr>
          <w:rFonts w:ascii="Calibri" w:hAnsi="Calibri" w:cs="Calibri"/>
          <w:vertAlign w:val="superscript"/>
          <w:lang w:val="en-US"/>
        </w:rPr>
        <w:t>210</w:t>
      </w:r>
      <w:r w:rsidR="001D2E0E" w:rsidRPr="00D76E47">
        <w:rPr>
          <w:rFonts w:ascii="Calibri" w:hAnsi="Calibri" w:cs="Calibri"/>
          <w:lang w:val="en-US"/>
        </w:rPr>
        <w:t>Po</w:t>
      </w:r>
      <w:r w:rsidR="007660EA">
        <w:rPr>
          <w:rFonts w:ascii="Calibri" w:hAnsi="Calibri" w:cs="Calibri"/>
          <w:lang w:val="en-US"/>
        </w:rPr>
        <w:t xml:space="preserve"> </w:t>
      </w:r>
      <w:r w:rsidRPr="00D76E47">
        <w:rPr>
          <w:rFonts w:ascii="Calibri" w:hAnsi="Calibri" w:cs="Calibri"/>
          <w:lang w:val="en-US"/>
        </w:rPr>
        <w:t xml:space="preserve">concentrations in organisms vary widely among different phylogenetic groups as well as among different tissues of the same species. However, freshwater and brackish aquatic systems have been poorly evaluated. </w:t>
      </w:r>
    </w:p>
    <w:p w14:paraId="7DCF9736" w14:textId="2A31B643" w:rsidR="001303E6" w:rsidRPr="00D76E47" w:rsidRDefault="003E25F4" w:rsidP="00A00B14">
      <w:pPr>
        <w:spacing w:line="288" w:lineRule="auto"/>
        <w:jc w:val="both"/>
        <w:rPr>
          <w:rFonts w:ascii="Calibri" w:hAnsi="Calibri" w:cs="Calibri"/>
          <w:lang w:val="en-US"/>
        </w:rPr>
      </w:pPr>
      <w:r w:rsidRPr="00D76E47">
        <w:rPr>
          <w:rFonts w:ascii="Calibri" w:hAnsi="Calibri" w:cs="Calibri"/>
          <w:lang w:val="en-US"/>
        </w:rPr>
        <w:t xml:space="preserve">To partially address this deficiency, a study of </w:t>
      </w:r>
      <w:r w:rsidR="007660EA" w:rsidRPr="00D76E47">
        <w:rPr>
          <w:rFonts w:ascii="Calibri" w:hAnsi="Calibri" w:cs="Calibri"/>
          <w:vertAlign w:val="superscript"/>
          <w:lang w:val="en-US"/>
        </w:rPr>
        <w:t>210</w:t>
      </w:r>
      <w:r w:rsidR="007660EA" w:rsidRPr="00D76E47">
        <w:rPr>
          <w:rFonts w:ascii="Calibri" w:hAnsi="Calibri" w:cs="Calibri"/>
          <w:lang w:val="en-US"/>
        </w:rPr>
        <w:t xml:space="preserve">Po </w:t>
      </w:r>
      <w:r w:rsidRPr="00D76E47">
        <w:rPr>
          <w:rFonts w:ascii="Calibri" w:hAnsi="Calibri" w:cs="Calibri"/>
          <w:lang w:val="en-US"/>
        </w:rPr>
        <w:t xml:space="preserve">was conducted in Castillos Lagoon, a brackish lagoon on the eastern coast of the Rocha department with intermittent connection to the ocean, to determine </w:t>
      </w:r>
      <w:r w:rsidR="007660EA" w:rsidRPr="00D76E47">
        <w:rPr>
          <w:rFonts w:ascii="Calibri" w:hAnsi="Calibri" w:cs="Calibri"/>
          <w:vertAlign w:val="superscript"/>
          <w:lang w:val="en-US"/>
        </w:rPr>
        <w:t>210</w:t>
      </w:r>
      <w:r w:rsidR="007660EA" w:rsidRPr="00D76E47">
        <w:rPr>
          <w:rFonts w:ascii="Calibri" w:hAnsi="Calibri" w:cs="Calibri"/>
          <w:lang w:val="en-US"/>
        </w:rPr>
        <w:t xml:space="preserve">Po </w:t>
      </w:r>
      <w:r w:rsidRPr="00D76E47">
        <w:rPr>
          <w:rFonts w:ascii="Calibri" w:hAnsi="Calibri" w:cs="Calibri"/>
          <w:lang w:val="en-US"/>
        </w:rPr>
        <w:t xml:space="preserve">activity concentrations in different compartments and understand activity flows between them. Seasonal sampling was conducted at 5 selected points in the lagoon, where </w:t>
      </w:r>
      <w:r w:rsidR="007660EA" w:rsidRPr="00D76E47">
        <w:rPr>
          <w:rFonts w:ascii="Calibri" w:hAnsi="Calibri" w:cs="Calibri"/>
          <w:vertAlign w:val="superscript"/>
          <w:lang w:val="en-US"/>
        </w:rPr>
        <w:t>210</w:t>
      </w:r>
      <w:r w:rsidR="007660EA" w:rsidRPr="00D76E47">
        <w:rPr>
          <w:rFonts w:ascii="Calibri" w:hAnsi="Calibri" w:cs="Calibri"/>
          <w:lang w:val="en-US"/>
        </w:rPr>
        <w:t xml:space="preserve">Po </w:t>
      </w:r>
      <w:r w:rsidRPr="00D76E47">
        <w:rPr>
          <w:rFonts w:ascii="Calibri" w:hAnsi="Calibri" w:cs="Calibri"/>
          <w:lang w:val="en-US"/>
        </w:rPr>
        <w:t xml:space="preserve">activity concentrations were determined in water, sediment, different species of fish, freshwater razor clam, </w:t>
      </w:r>
      <w:r w:rsidR="007F7E81" w:rsidRPr="00D76E47">
        <w:rPr>
          <w:rFonts w:ascii="Calibri" w:hAnsi="Calibri" w:cs="Calibri"/>
          <w:lang w:val="en-US"/>
        </w:rPr>
        <w:t xml:space="preserve">blue </w:t>
      </w:r>
      <w:r w:rsidRPr="00D76E47">
        <w:rPr>
          <w:rFonts w:ascii="Calibri" w:hAnsi="Calibri" w:cs="Calibri"/>
          <w:lang w:val="en-US"/>
        </w:rPr>
        <w:t>crab, shrimp, phytoplankton, and zooplankton.</w:t>
      </w:r>
      <w:r w:rsidR="006F5747" w:rsidRPr="00D76E47">
        <w:rPr>
          <w:rFonts w:ascii="Calibri" w:hAnsi="Calibri" w:cs="Calibri"/>
          <w:lang w:val="en-US"/>
        </w:rPr>
        <w:t xml:space="preserve"> </w:t>
      </w:r>
      <w:r w:rsidR="007660EA" w:rsidRPr="00D76E47">
        <w:rPr>
          <w:rFonts w:ascii="Calibri" w:hAnsi="Calibri" w:cs="Calibri"/>
          <w:vertAlign w:val="superscript"/>
          <w:lang w:val="en-US"/>
        </w:rPr>
        <w:t>210</w:t>
      </w:r>
      <w:r w:rsidR="007660EA" w:rsidRPr="00D76E47">
        <w:rPr>
          <w:rFonts w:ascii="Calibri" w:hAnsi="Calibri" w:cs="Calibri"/>
          <w:lang w:val="en-US"/>
        </w:rPr>
        <w:t xml:space="preserve">Po </w:t>
      </w:r>
      <w:r w:rsidRPr="00D76E47">
        <w:rPr>
          <w:rFonts w:ascii="Calibri" w:hAnsi="Calibri" w:cs="Calibri"/>
          <w:lang w:val="en-US"/>
        </w:rPr>
        <w:t>was determined using alpha spectrometry, with radiochemical separation and self-deposition on silver disk.</w:t>
      </w:r>
    </w:p>
    <w:p w14:paraId="5D79795A" w14:textId="46A894DF" w:rsidR="007F04CF" w:rsidRPr="00D76E47" w:rsidRDefault="009870BE" w:rsidP="00A00B14">
      <w:pPr>
        <w:spacing w:line="288" w:lineRule="auto"/>
        <w:rPr>
          <w:rFonts w:ascii="Calibri" w:hAnsi="Calibri" w:cs="Calibri"/>
          <w:lang w:val="en-US"/>
        </w:rPr>
      </w:pPr>
      <w:r w:rsidRPr="00D76E47">
        <w:rPr>
          <w:rFonts w:ascii="Calibri" w:hAnsi="Calibri" w:cs="Calibri"/>
          <w:lang w:val="en-US"/>
        </w:rPr>
        <w:t xml:space="preserve">In </w:t>
      </w:r>
      <w:r w:rsidR="00A00B14">
        <w:rPr>
          <w:rFonts w:ascii="Calibri" w:hAnsi="Calibri" w:cs="Calibri"/>
          <w:lang w:val="en-US"/>
        </w:rPr>
        <w:t>this study</w:t>
      </w:r>
      <w:r w:rsidRPr="00D76E47">
        <w:rPr>
          <w:rFonts w:ascii="Calibri" w:hAnsi="Calibri" w:cs="Calibri"/>
          <w:lang w:val="en-US"/>
        </w:rPr>
        <w:t xml:space="preserve">, the average values of </w:t>
      </w:r>
      <w:r w:rsidR="007660EA" w:rsidRPr="00D76E47">
        <w:rPr>
          <w:rFonts w:ascii="Calibri" w:hAnsi="Calibri" w:cs="Calibri"/>
          <w:vertAlign w:val="superscript"/>
          <w:lang w:val="en-US"/>
        </w:rPr>
        <w:t>210</w:t>
      </w:r>
      <w:r w:rsidR="007660EA" w:rsidRPr="00D76E47">
        <w:rPr>
          <w:rFonts w:ascii="Calibri" w:hAnsi="Calibri" w:cs="Calibri"/>
          <w:lang w:val="en-US"/>
        </w:rPr>
        <w:t xml:space="preserve">Po </w:t>
      </w:r>
      <w:r w:rsidRPr="00D76E47">
        <w:rPr>
          <w:rFonts w:ascii="Calibri" w:hAnsi="Calibri" w:cs="Calibri"/>
          <w:lang w:val="en-US"/>
        </w:rPr>
        <w:t xml:space="preserve">concentration in water and sediments for the various seasonal samplings conducted </w:t>
      </w:r>
      <w:r w:rsidR="00A00B14">
        <w:rPr>
          <w:rFonts w:ascii="Calibri" w:hAnsi="Calibri" w:cs="Calibri"/>
          <w:lang w:val="en-US"/>
        </w:rPr>
        <w:t>will be</w:t>
      </w:r>
      <w:r w:rsidRPr="00D76E47">
        <w:rPr>
          <w:rFonts w:ascii="Calibri" w:hAnsi="Calibri" w:cs="Calibri"/>
          <w:lang w:val="en-US"/>
        </w:rPr>
        <w:t xml:space="preserve"> presented, along with the </w:t>
      </w:r>
      <w:r w:rsidR="009F3DAE" w:rsidRPr="00D76E47">
        <w:rPr>
          <w:rFonts w:ascii="Calibri" w:hAnsi="Calibri" w:cs="Calibri"/>
          <w:lang w:val="en-US"/>
        </w:rPr>
        <w:t xml:space="preserve">ranges </w:t>
      </w:r>
      <w:r w:rsidR="008247C5" w:rsidRPr="00D76E47">
        <w:rPr>
          <w:rFonts w:ascii="Calibri" w:hAnsi="Calibri" w:cs="Calibri"/>
          <w:lang w:val="en-US"/>
        </w:rPr>
        <w:t>of the calculated d</w:t>
      </w:r>
      <w:r w:rsidR="002021BE" w:rsidRPr="00D76E47">
        <w:rPr>
          <w:rFonts w:ascii="Calibri" w:hAnsi="Calibri" w:cs="Calibri"/>
          <w:lang w:val="en-US"/>
        </w:rPr>
        <w:t xml:space="preserve">istribution coefficients, </w:t>
      </w:r>
      <w:r w:rsidR="007F3D01" w:rsidRPr="00D76E47">
        <w:rPr>
          <w:rFonts w:ascii="Calibri" w:hAnsi="Calibri" w:cs="Calibri"/>
          <w:lang w:val="en-US"/>
        </w:rPr>
        <w:t>Kd (L/kg), between sediment and water.</w:t>
      </w:r>
      <w:r w:rsidR="00A00B14">
        <w:rPr>
          <w:rFonts w:ascii="Calibri" w:hAnsi="Calibri" w:cs="Calibri"/>
          <w:lang w:val="en-US"/>
        </w:rPr>
        <w:t xml:space="preserve"> </w:t>
      </w:r>
      <w:r w:rsidR="007F04CF" w:rsidRPr="00D76E47">
        <w:rPr>
          <w:rFonts w:ascii="Calibri" w:hAnsi="Calibri" w:cs="Calibri"/>
          <w:lang w:val="en-US"/>
        </w:rPr>
        <w:t>Transfer coefficients between biota and water or sediment were also calculated, ranging from 10</w:t>
      </w:r>
      <w:r w:rsidR="007F04CF" w:rsidRPr="00D76E47">
        <w:rPr>
          <w:rFonts w:ascii="Calibri" w:hAnsi="Calibri" w:cs="Calibri"/>
          <w:vertAlign w:val="superscript"/>
          <w:lang w:val="en-US"/>
        </w:rPr>
        <w:t>2</w:t>
      </w:r>
      <w:r w:rsidR="007F04CF" w:rsidRPr="00D76E47">
        <w:rPr>
          <w:rFonts w:ascii="Calibri" w:hAnsi="Calibri" w:cs="Calibri"/>
          <w:lang w:val="en-US"/>
        </w:rPr>
        <w:t xml:space="preserve"> to 10</w:t>
      </w:r>
      <w:r w:rsidR="007F04CF" w:rsidRPr="00D76E47">
        <w:rPr>
          <w:rFonts w:ascii="Calibri" w:hAnsi="Calibri" w:cs="Calibri"/>
          <w:vertAlign w:val="superscript"/>
          <w:lang w:val="en-US"/>
        </w:rPr>
        <w:t>5</w:t>
      </w:r>
      <w:r w:rsidR="007F04CF" w:rsidRPr="00D76E47">
        <w:rPr>
          <w:rFonts w:ascii="Calibri" w:hAnsi="Calibri" w:cs="Calibri"/>
          <w:lang w:val="en-US"/>
        </w:rPr>
        <w:t xml:space="preserve"> depending on the aquatic organism and the tissue considered.</w:t>
      </w:r>
    </w:p>
    <w:p w14:paraId="019A9188" w14:textId="77BF7F18" w:rsidR="003E25F4" w:rsidRPr="00D76E47" w:rsidRDefault="003E25F4" w:rsidP="003A443F">
      <w:pPr>
        <w:spacing w:line="288" w:lineRule="auto"/>
        <w:jc w:val="both"/>
        <w:rPr>
          <w:rFonts w:ascii="Calibri" w:hAnsi="Calibri" w:cs="Calibri"/>
          <w:lang w:val="en-US"/>
        </w:rPr>
      </w:pPr>
      <w:r w:rsidRPr="00D76E47">
        <w:rPr>
          <w:rFonts w:ascii="Calibri" w:hAnsi="Calibri" w:cs="Calibri"/>
          <w:lang w:val="en-US"/>
        </w:rPr>
        <w:t xml:space="preserve">The results show that </w:t>
      </w:r>
      <w:r w:rsidR="004C2E6C" w:rsidRPr="00D76E47">
        <w:rPr>
          <w:rFonts w:ascii="Calibri" w:hAnsi="Calibri" w:cs="Calibri"/>
          <w:vertAlign w:val="superscript"/>
          <w:lang w:val="en-US"/>
        </w:rPr>
        <w:t>210</w:t>
      </w:r>
      <w:r w:rsidR="004C2E6C" w:rsidRPr="00D76E47">
        <w:rPr>
          <w:rFonts w:ascii="Calibri" w:hAnsi="Calibri" w:cs="Calibri"/>
          <w:lang w:val="en-US"/>
        </w:rPr>
        <w:t xml:space="preserve">Po </w:t>
      </w:r>
      <w:r w:rsidRPr="00D76E47">
        <w:rPr>
          <w:rFonts w:ascii="Calibri" w:hAnsi="Calibri" w:cs="Calibri"/>
          <w:lang w:val="en-US"/>
        </w:rPr>
        <w:t xml:space="preserve">present in water is concentrated by phytoplankton and transferred to the next trophic level along marine food chains, with the main absorption route through ingested food, while the absorption of dissolved forms of </w:t>
      </w:r>
      <w:r w:rsidR="004C2E6C" w:rsidRPr="00D76E47">
        <w:rPr>
          <w:rFonts w:ascii="Calibri" w:hAnsi="Calibri" w:cs="Calibri"/>
          <w:vertAlign w:val="superscript"/>
          <w:lang w:val="en-US"/>
        </w:rPr>
        <w:t>210</w:t>
      </w:r>
      <w:r w:rsidR="004C2E6C" w:rsidRPr="00D76E47">
        <w:rPr>
          <w:rFonts w:ascii="Calibri" w:hAnsi="Calibri" w:cs="Calibri"/>
          <w:lang w:val="en-US"/>
        </w:rPr>
        <w:t xml:space="preserve">Po </w:t>
      </w:r>
      <w:r w:rsidRPr="00D76E47">
        <w:rPr>
          <w:rFonts w:ascii="Calibri" w:hAnsi="Calibri" w:cs="Calibri"/>
          <w:lang w:val="en-US"/>
        </w:rPr>
        <w:t xml:space="preserve">in water provides only a minor contribution. The great variability of the results obtained in different species may correlate with the feeding habits of the organisms analyzed. Species that feed on phytoplankton and zooplankton tend to have high </w:t>
      </w:r>
      <w:r w:rsidR="004C2E6C" w:rsidRPr="00D76E47">
        <w:rPr>
          <w:rFonts w:ascii="Calibri" w:hAnsi="Calibri" w:cs="Calibri"/>
          <w:vertAlign w:val="superscript"/>
          <w:lang w:val="en-US"/>
        </w:rPr>
        <w:t>210</w:t>
      </w:r>
      <w:r w:rsidR="004C2E6C" w:rsidRPr="00D76E47">
        <w:rPr>
          <w:rFonts w:ascii="Calibri" w:hAnsi="Calibri" w:cs="Calibri"/>
          <w:lang w:val="en-US"/>
        </w:rPr>
        <w:t>Po</w:t>
      </w:r>
      <w:r w:rsidRPr="00D76E47">
        <w:rPr>
          <w:rFonts w:ascii="Calibri" w:hAnsi="Calibri" w:cs="Calibri"/>
          <w:lang w:val="en-US"/>
        </w:rPr>
        <w:t xml:space="preserve"> activity concentrations. However, species located at higher levels of the food web, such as top predators (piscivores), tend to have lower activity concentrations of this radionuclide.</w:t>
      </w:r>
    </w:p>
    <w:sectPr w:rsidR="003E25F4" w:rsidRPr="00D76E47" w:rsidSect="00680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24"/>
    <w:rsid w:val="00054059"/>
    <w:rsid w:val="00057A25"/>
    <w:rsid w:val="00062FE5"/>
    <w:rsid w:val="00092A28"/>
    <w:rsid w:val="000E61C5"/>
    <w:rsid w:val="001303E6"/>
    <w:rsid w:val="00135DE7"/>
    <w:rsid w:val="00161750"/>
    <w:rsid w:val="0016235D"/>
    <w:rsid w:val="001A217B"/>
    <w:rsid w:val="001D2E0E"/>
    <w:rsid w:val="001D4E08"/>
    <w:rsid w:val="001F4C6F"/>
    <w:rsid w:val="001F53A5"/>
    <w:rsid w:val="001F71F2"/>
    <w:rsid w:val="002021BE"/>
    <w:rsid w:val="0021432D"/>
    <w:rsid w:val="00244AA6"/>
    <w:rsid w:val="002728FF"/>
    <w:rsid w:val="002B5802"/>
    <w:rsid w:val="002E75FC"/>
    <w:rsid w:val="002F60A6"/>
    <w:rsid w:val="00305286"/>
    <w:rsid w:val="0031083F"/>
    <w:rsid w:val="00344A7E"/>
    <w:rsid w:val="003643AC"/>
    <w:rsid w:val="003A443F"/>
    <w:rsid w:val="003D4BA2"/>
    <w:rsid w:val="003E0B0B"/>
    <w:rsid w:val="003E25F4"/>
    <w:rsid w:val="003F33F5"/>
    <w:rsid w:val="0043424B"/>
    <w:rsid w:val="0045084C"/>
    <w:rsid w:val="00471A58"/>
    <w:rsid w:val="004C2E6C"/>
    <w:rsid w:val="004D3798"/>
    <w:rsid w:val="004E532A"/>
    <w:rsid w:val="004F11F1"/>
    <w:rsid w:val="004F3145"/>
    <w:rsid w:val="00512E89"/>
    <w:rsid w:val="00531AB6"/>
    <w:rsid w:val="00543A82"/>
    <w:rsid w:val="0055515B"/>
    <w:rsid w:val="005579B6"/>
    <w:rsid w:val="00590E00"/>
    <w:rsid w:val="005D0FBD"/>
    <w:rsid w:val="005E3924"/>
    <w:rsid w:val="00640206"/>
    <w:rsid w:val="00650FD0"/>
    <w:rsid w:val="0065372C"/>
    <w:rsid w:val="0068047B"/>
    <w:rsid w:val="006C2711"/>
    <w:rsid w:val="006C5BA7"/>
    <w:rsid w:val="006F5747"/>
    <w:rsid w:val="007350EE"/>
    <w:rsid w:val="007660EA"/>
    <w:rsid w:val="007660F2"/>
    <w:rsid w:val="00776691"/>
    <w:rsid w:val="007E21D2"/>
    <w:rsid w:val="007F04CF"/>
    <w:rsid w:val="007F3D01"/>
    <w:rsid w:val="007F7E81"/>
    <w:rsid w:val="008247C5"/>
    <w:rsid w:val="0087117F"/>
    <w:rsid w:val="00872834"/>
    <w:rsid w:val="008E4F4F"/>
    <w:rsid w:val="008F41D5"/>
    <w:rsid w:val="0092227E"/>
    <w:rsid w:val="00945BAA"/>
    <w:rsid w:val="009870BE"/>
    <w:rsid w:val="009A47B3"/>
    <w:rsid w:val="009D29A5"/>
    <w:rsid w:val="009F3DAE"/>
    <w:rsid w:val="009F6178"/>
    <w:rsid w:val="00A00B14"/>
    <w:rsid w:val="00A3183C"/>
    <w:rsid w:val="00A33348"/>
    <w:rsid w:val="00A515E0"/>
    <w:rsid w:val="00A57CF4"/>
    <w:rsid w:val="00A872BD"/>
    <w:rsid w:val="00A924B1"/>
    <w:rsid w:val="00AA07F2"/>
    <w:rsid w:val="00AB5376"/>
    <w:rsid w:val="00AC3B58"/>
    <w:rsid w:val="00B23C6B"/>
    <w:rsid w:val="00B36EDD"/>
    <w:rsid w:val="00B45EE1"/>
    <w:rsid w:val="00B51A71"/>
    <w:rsid w:val="00BE4004"/>
    <w:rsid w:val="00C265CC"/>
    <w:rsid w:val="00C3573E"/>
    <w:rsid w:val="00C53CB2"/>
    <w:rsid w:val="00C648B8"/>
    <w:rsid w:val="00C90128"/>
    <w:rsid w:val="00CA16A9"/>
    <w:rsid w:val="00CE6639"/>
    <w:rsid w:val="00D600F7"/>
    <w:rsid w:val="00D76E47"/>
    <w:rsid w:val="00D832F1"/>
    <w:rsid w:val="00D91A2B"/>
    <w:rsid w:val="00DC2C17"/>
    <w:rsid w:val="00DF0CA5"/>
    <w:rsid w:val="00E04272"/>
    <w:rsid w:val="00E307A3"/>
    <w:rsid w:val="00E438A2"/>
    <w:rsid w:val="00E71C1C"/>
    <w:rsid w:val="00E852FB"/>
    <w:rsid w:val="00EF10E5"/>
    <w:rsid w:val="00F0225F"/>
    <w:rsid w:val="00F123FA"/>
    <w:rsid w:val="00FC2F2B"/>
    <w:rsid w:val="00FC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875E"/>
  <w15:chartTrackingRefBased/>
  <w15:docId w15:val="{8D5D74EB-CAF3-4C68-A898-D8F1367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3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3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39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39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39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39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39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39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39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9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39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39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39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39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39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39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39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3924"/>
    <w:rPr>
      <w:rFonts w:eastAsiaTheme="majorEastAsia" w:cstheme="majorBidi"/>
      <w:color w:val="272727" w:themeColor="text1" w:themeTint="D8"/>
    </w:rPr>
  </w:style>
  <w:style w:type="paragraph" w:styleId="Ttulo">
    <w:name w:val="Title"/>
    <w:basedOn w:val="Normal"/>
    <w:next w:val="Normal"/>
    <w:link w:val="TtuloCar"/>
    <w:uiPriority w:val="10"/>
    <w:qFormat/>
    <w:rsid w:val="005E3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9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39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39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3924"/>
    <w:pPr>
      <w:spacing w:before="160"/>
      <w:jc w:val="center"/>
    </w:pPr>
    <w:rPr>
      <w:i/>
      <w:iCs/>
      <w:color w:val="404040" w:themeColor="text1" w:themeTint="BF"/>
    </w:rPr>
  </w:style>
  <w:style w:type="character" w:customStyle="1" w:styleId="CitaCar">
    <w:name w:val="Cita Car"/>
    <w:basedOn w:val="Fuentedeprrafopredeter"/>
    <w:link w:val="Cita"/>
    <w:uiPriority w:val="29"/>
    <w:rsid w:val="005E3924"/>
    <w:rPr>
      <w:i/>
      <w:iCs/>
      <w:color w:val="404040" w:themeColor="text1" w:themeTint="BF"/>
    </w:rPr>
  </w:style>
  <w:style w:type="paragraph" w:styleId="Prrafodelista">
    <w:name w:val="List Paragraph"/>
    <w:basedOn w:val="Normal"/>
    <w:uiPriority w:val="34"/>
    <w:qFormat/>
    <w:rsid w:val="005E3924"/>
    <w:pPr>
      <w:ind w:left="720"/>
      <w:contextualSpacing/>
    </w:pPr>
  </w:style>
  <w:style w:type="character" w:styleId="nfasisintenso">
    <w:name w:val="Intense Emphasis"/>
    <w:basedOn w:val="Fuentedeprrafopredeter"/>
    <w:uiPriority w:val="21"/>
    <w:qFormat/>
    <w:rsid w:val="005E3924"/>
    <w:rPr>
      <w:i/>
      <w:iCs/>
      <w:color w:val="0F4761" w:themeColor="accent1" w:themeShade="BF"/>
    </w:rPr>
  </w:style>
  <w:style w:type="paragraph" w:styleId="Citadestacada">
    <w:name w:val="Intense Quote"/>
    <w:basedOn w:val="Normal"/>
    <w:next w:val="Normal"/>
    <w:link w:val="CitadestacadaCar"/>
    <w:uiPriority w:val="30"/>
    <w:qFormat/>
    <w:rsid w:val="005E3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3924"/>
    <w:rPr>
      <w:i/>
      <w:iCs/>
      <w:color w:val="0F4761" w:themeColor="accent1" w:themeShade="BF"/>
    </w:rPr>
  </w:style>
  <w:style w:type="character" w:styleId="Referenciaintensa">
    <w:name w:val="Intense Reference"/>
    <w:basedOn w:val="Fuentedeprrafopredeter"/>
    <w:uiPriority w:val="32"/>
    <w:qFormat/>
    <w:rsid w:val="005E3924"/>
    <w:rPr>
      <w:b/>
      <w:bCs/>
      <w:smallCaps/>
      <w:color w:val="0F4761" w:themeColor="accent1" w:themeShade="BF"/>
      <w:spacing w:val="5"/>
    </w:rPr>
  </w:style>
  <w:style w:type="paragraph" w:customStyle="1" w:styleId="Authors">
    <w:name w:val="Authors"/>
    <w:basedOn w:val="Normal"/>
    <w:next w:val="Normal"/>
    <w:rsid w:val="00C648B8"/>
    <w:pPr>
      <w:suppressAutoHyphens/>
      <w:spacing w:after="0" w:line="240" w:lineRule="auto"/>
      <w:jc w:val="center"/>
    </w:pPr>
    <w:rPr>
      <w:rFonts w:ascii="Times New Roman" w:eastAsia="SimSun" w:hAnsi="Times New Roman" w:cs="Times New Roman"/>
      <w:kern w:val="0"/>
      <w:sz w:val="24"/>
      <w:szCs w:val="24"/>
      <w:lang w:val="hr-HR" w:eastAsia="zh-CN"/>
    </w:rPr>
  </w:style>
  <w:style w:type="paragraph" w:styleId="NormalWeb">
    <w:name w:val="Normal (Web)"/>
    <w:basedOn w:val="Normal"/>
    <w:uiPriority w:val="99"/>
    <w:rsid w:val="00C648B8"/>
    <w:pPr>
      <w:spacing w:before="280" w:after="0" w:line="360" w:lineRule="auto"/>
      <w:jc w:val="both"/>
    </w:pPr>
    <w:rPr>
      <w:rFonts w:ascii="Times New Roman" w:eastAsia="SimSu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47052">
      <w:bodyDiv w:val="1"/>
      <w:marLeft w:val="0"/>
      <w:marRight w:val="0"/>
      <w:marTop w:val="0"/>
      <w:marBottom w:val="0"/>
      <w:divBdr>
        <w:top w:val="none" w:sz="0" w:space="0" w:color="auto"/>
        <w:left w:val="none" w:sz="0" w:space="0" w:color="auto"/>
        <w:bottom w:val="none" w:sz="0" w:space="0" w:color="auto"/>
        <w:right w:val="none" w:sz="0" w:space="0" w:color="auto"/>
      </w:divBdr>
      <w:divsChild>
        <w:div w:id="899365717">
          <w:marLeft w:val="0"/>
          <w:marRight w:val="0"/>
          <w:marTop w:val="0"/>
          <w:marBottom w:val="0"/>
          <w:divBdr>
            <w:top w:val="single" w:sz="2" w:space="0" w:color="E3E3E3"/>
            <w:left w:val="single" w:sz="2" w:space="0" w:color="E3E3E3"/>
            <w:bottom w:val="single" w:sz="2" w:space="0" w:color="E3E3E3"/>
            <w:right w:val="single" w:sz="2" w:space="0" w:color="E3E3E3"/>
          </w:divBdr>
          <w:divsChild>
            <w:div w:id="433014397">
              <w:marLeft w:val="0"/>
              <w:marRight w:val="0"/>
              <w:marTop w:val="0"/>
              <w:marBottom w:val="0"/>
              <w:divBdr>
                <w:top w:val="single" w:sz="2" w:space="0" w:color="E3E3E3"/>
                <w:left w:val="single" w:sz="2" w:space="0" w:color="E3E3E3"/>
                <w:bottom w:val="single" w:sz="2" w:space="0" w:color="E3E3E3"/>
                <w:right w:val="single" w:sz="2" w:space="0" w:color="E3E3E3"/>
              </w:divBdr>
              <w:divsChild>
                <w:div w:id="1017805863">
                  <w:marLeft w:val="0"/>
                  <w:marRight w:val="0"/>
                  <w:marTop w:val="0"/>
                  <w:marBottom w:val="0"/>
                  <w:divBdr>
                    <w:top w:val="single" w:sz="2" w:space="0" w:color="E3E3E3"/>
                    <w:left w:val="single" w:sz="2" w:space="0" w:color="E3E3E3"/>
                    <w:bottom w:val="single" w:sz="2" w:space="0" w:color="E3E3E3"/>
                    <w:right w:val="single" w:sz="2" w:space="0" w:color="E3E3E3"/>
                  </w:divBdr>
                  <w:divsChild>
                    <w:div w:id="1232691298">
                      <w:marLeft w:val="0"/>
                      <w:marRight w:val="0"/>
                      <w:marTop w:val="0"/>
                      <w:marBottom w:val="0"/>
                      <w:divBdr>
                        <w:top w:val="single" w:sz="2" w:space="0" w:color="E3E3E3"/>
                        <w:left w:val="single" w:sz="2" w:space="0" w:color="E3E3E3"/>
                        <w:bottom w:val="single" w:sz="2" w:space="0" w:color="E3E3E3"/>
                        <w:right w:val="single" w:sz="2" w:space="0" w:color="E3E3E3"/>
                      </w:divBdr>
                      <w:divsChild>
                        <w:div w:id="1764455831">
                          <w:marLeft w:val="0"/>
                          <w:marRight w:val="0"/>
                          <w:marTop w:val="0"/>
                          <w:marBottom w:val="0"/>
                          <w:divBdr>
                            <w:top w:val="single" w:sz="2" w:space="0" w:color="E3E3E3"/>
                            <w:left w:val="single" w:sz="2" w:space="0" w:color="E3E3E3"/>
                            <w:bottom w:val="single" w:sz="2" w:space="0" w:color="E3E3E3"/>
                            <w:right w:val="single" w:sz="2" w:space="0" w:color="E3E3E3"/>
                          </w:divBdr>
                          <w:divsChild>
                            <w:div w:id="1935892993">
                              <w:marLeft w:val="0"/>
                              <w:marRight w:val="0"/>
                              <w:marTop w:val="0"/>
                              <w:marBottom w:val="0"/>
                              <w:divBdr>
                                <w:top w:val="single" w:sz="2" w:space="0" w:color="E3E3E3"/>
                                <w:left w:val="single" w:sz="2" w:space="0" w:color="E3E3E3"/>
                                <w:bottom w:val="single" w:sz="2" w:space="0" w:color="E3E3E3"/>
                                <w:right w:val="single" w:sz="2" w:space="0" w:color="E3E3E3"/>
                              </w:divBdr>
                              <w:divsChild>
                                <w:div w:id="1600988662">
                                  <w:marLeft w:val="0"/>
                                  <w:marRight w:val="0"/>
                                  <w:marTop w:val="100"/>
                                  <w:marBottom w:val="100"/>
                                  <w:divBdr>
                                    <w:top w:val="single" w:sz="2" w:space="0" w:color="E3E3E3"/>
                                    <w:left w:val="single" w:sz="2" w:space="0" w:color="E3E3E3"/>
                                    <w:bottom w:val="single" w:sz="2" w:space="0" w:color="E3E3E3"/>
                                    <w:right w:val="single" w:sz="2" w:space="0" w:color="E3E3E3"/>
                                  </w:divBdr>
                                  <w:divsChild>
                                    <w:div w:id="354505893">
                                      <w:marLeft w:val="0"/>
                                      <w:marRight w:val="0"/>
                                      <w:marTop w:val="0"/>
                                      <w:marBottom w:val="0"/>
                                      <w:divBdr>
                                        <w:top w:val="single" w:sz="2" w:space="0" w:color="E3E3E3"/>
                                        <w:left w:val="single" w:sz="2" w:space="0" w:color="E3E3E3"/>
                                        <w:bottom w:val="single" w:sz="2" w:space="0" w:color="E3E3E3"/>
                                        <w:right w:val="single" w:sz="2" w:space="0" w:color="E3E3E3"/>
                                      </w:divBdr>
                                      <w:divsChild>
                                        <w:div w:id="1663005101">
                                          <w:marLeft w:val="0"/>
                                          <w:marRight w:val="0"/>
                                          <w:marTop w:val="0"/>
                                          <w:marBottom w:val="0"/>
                                          <w:divBdr>
                                            <w:top w:val="single" w:sz="2" w:space="0" w:color="E3E3E3"/>
                                            <w:left w:val="single" w:sz="2" w:space="0" w:color="E3E3E3"/>
                                            <w:bottom w:val="single" w:sz="2" w:space="0" w:color="E3E3E3"/>
                                            <w:right w:val="single" w:sz="2" w:space="0" w:color="E3E3E3"/>
                                          </w:divBdr>
                                          <w:divsChild>
                                            <w:div w:id="511141310">
                                              <w:marLeft w:val="0"/>
                                              <w:marRight w:val="0"/>
                                              <w:marTop w:val="0"/>
                                              <w:marBottom w:val="0"/>
                                              <w:divBdr>
                                                <w:top w:val="single" w:sz="2" w:space="0" w:color="E3E3E3"/>
                                                <w:left w:val="single" w:sz="2" w:space="0" w:color="E3E3E3"/>
                                                <w:bottom w:val="single" w:sz="2" w:space="0" w:color="E3E3E3"/>
                                                <w:right w:val="single" w:sz="2" w:space="0" w:color="E3E3E3"/>
                                              </w:divBdr>
                                              <w:divsChild>
                                                <w:div w:id="1844281037">
                                                  <w:marLeft w:val="0"/>
                                                  <w:marRight w:val="0"/>
                                                  <w:marTop w:val="0"/>
                                                  <w:marBottom w:val="0"/>
                                                  <w:divBdr>
                                                    <w:top w:val="single" w:sz="2" w:space="0" w:color="E3E3E3"/>
                                                    <w:left w:val="single" w:sz="2" w:space="0" w:color="E3E3E3"/>
                                                    <w:bottom w:val="single" w:sz="2" w:space="0" w:color="E3E3E3"/>
                                                    <w:right w:val="single" w:sz="2" w:space="0" w:color="E3E3E3"/>
                                                  </w:divBdr>
                                                  <w:divsChild>
                                                    <w:div w:id="1558512323">
                                                      <w:marLeft w:val="0"/>
                                                      <w:marRight w:val="0"/>
                                                      <w:marTop w:val="0"/>
                                                      <w:marBottom w:val="0"/>
                                                      <w:divBdr>
                                                        <w:top w:val="single" w:sz="2" w:space="0" w:color="E3E3E3"/>
                                                        <w:left w:val="single" w:sz="2" w:space="0" w:color="E3E3E3"/>
                                                        <w:bottom w:val="single" w:sz="2" w:space="0" w:color="E3E3E3"/>
                                                        <w:right w:val="single" w:sz="2" w:space="0" w:color="E3E3E3"/>
                                                      </w:divBdr>
                                                      <w:divsChild>
                                                        <w:div w:id="760175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00439547">
          <w:marLeft w:val="0"/>
          <w:marRight w:val="0"/>
          <w:marTop w:val="0"/>
          <w:marBottom w:val="0"/>
          <w:divBdr>
            <w:top w:val="none" w:sz="0" w:space="0" w:color="auto"/>
            <w:left w:val="none" w:sz="0" w:space="0" w:color="auto"/>
            <w:bottom w:val="none" w:sz="0" w:space="0" w:color="auto"/>
            <w:right w:val="none" w:sz="0" w:space="0" w:color="auto"/>
          </w:divBdr>
        </w:div>
      </w:divsChild>
    </w:div>
    <w:div w:id="1239169668">
      <w:bodyDiv w:val="1"/>
      <w:marLeft w:val="0"/>
      <w:marRight w:val="0"/>
      <w:marTop w:val="0"/>
      <w:marBottom w:val="0"/>
      <w:divBdr>
        <w:top w:val="none" w:sz="0" w:space="0" w:color="auto"/>
        <w:left w:val="none" w:sz="0" w:space="0" w:color="auto"/>
        <w:bottom w:val="none" w:sz="0" w:space="0" w:color="auto"/>
        <w:right w:val="none" w:sz="0" w:space="0" w:color="auto"/>
      </w:divBdr>
      <w:divsChild>
        <w:div w:id="105612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Bañobre</dc:creator>
  <cp:keywords/>
  <dc:description/>
  <cp:lastModifiedBy>RAFAEL GARCIA-TENORIO GARCIA BALMASEDA</cp:lastModifiedBy>
  <cp:revision>4</cp:revision>
  <dcterms:created xsi:type="dcterms:W3CDTF">2025-04-28T16:57:00Z</dcterms:created>
  <dcterms:modified xsi:type="dcterms:W3CDTF">2025-04-29T09:55:00Z</dcterms:modified>
</cp:coreProperties>
</file>