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9A98" w14:textId="7CF4A8E0" w:rsidR="000D7C41" w:rsidRDefault="009F372E" w:rsidP="000D7C41">
      <w:pPr>
        <w:spacing w:after="200"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r w:rsidRPr="009F372E">
        <w:rPr>
          <w:rFonts w:asciiTheme="minorHAnsi" w:hAnsiTheme="minorHAnsi" w:cstheme="minorHAnsi"/>
          <w:b/>
          <w:sz w:val="28"/>
        </w:rPr>
        <w:t xml:space="preserve">In-situ </w:t>
      </w:r>
      <w:r w:rsidR="0047582C">
        <w:rPr>
          <w:rFonts w:asciiTheme="minorHAnsi" w:hAnsiTheme="minorHAnsi" w:cstheme="minorHAnsi"/>
          <w:b/>
          <w:sz w:val="28"/>
        </w:rPr>
        <w:t>gamma radiation</w:t>
      </w:r>
      <w:r w:rsidRPr="009F372E">
        <w:rPr>
          <w:rFonts w:asciiTheme="minorHAnsi" w:hAnsiTheme="minorHAnsi" w:cstheme="minorHAnsi"/>
          <w:b/>
          <w:sz w:val="28"/>
        </w:rPr>
        <w:t xml:space="preserve"> assessment </w:t>
      </w:r>
      <w:r w:rsidR="00E626B0">
        <w:rPr>
          <w:rFonts w:asciiTheme="minorHAnsi" w:hAnsiTheme="minorHAnsi" w:cstheme="minorHAnsi"/>
          <w:b/>
          <w:sz w:val="28"/>
        </w:rPr>
        <w:t>of</w:t>
      </w:r>
      <w:r w:rsidRPr="009F372E">
        <w:rPr>
          <w:rFonts w:asciiTheme="minorHAnsi" w:hAnsiTheme="minorHAnsi" w:cstheme="minorHAnsi"/>
          <w:b/>
          <w:sz w:val="28"/>
        </w:rPr>
        <w:t xml:space="preserve"> coastal and hinterland </w:t>
      </w:r>
      <w:r w:rsidR="00E626B0">
        <w:rPr>
          <w:rFonts w:asciiTheme="minorHAnsi" w:hAnsiTheme="minorHAnsi" w:cstheme="minorHAnsi"/>
          <w:b/>
          <w:sz w:val="28"/>
        </w:rPr>
        <w:t>regions</w:t>
      </w:r>
      <w:r w:rsidRPr="009F372E">
        <w:rPr>
          <w:rFonts w:asciiTheme="minorHAnsi" w:hAnsiTheme="minorHAnsi" w:cstheme="minorHAnsi"/>
          <w:b/>
          <w:sz w:val="28"/>
        </w:rPr>
        <w:t xml:space="preserve"> of Kanyakumari high background natural radiation area, India</w:t>
      </w:r>
    </w:p>
    <w:p w14:paraId="2265D77A" w14:textId="4F6D1F40" w:rsidR="00502CF7" w:rsidRPr="000D7C41" w:rsidRDefault="009F372E" w:rsidP="00502CF7">
      <w:pPr>
        <w:spacing w:before="187"/>
        <w:ind w:firstLine="47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Thennaarassan Natarajan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proofErr w:type="gramStart"/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*</w:t>
      </w:r>
      <w:proofErr w:type="gramEnd"/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Kazumasa Inoue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Sarata Kumar Sahoo,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Masahiro Fukushi,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 xml:space="preserve">1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Satoshi Ito,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Rajamanickam Murugan,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and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P. Duraimaran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3</w:t>
      </w:r>
    </w:p>
    <w:p w14:paraId="1A508CB3" w14:textId="77594E0A" w:rsidR="009F372E" w:rsidRPr="009F372E" w:rsidRDefault="009F372E" w:rsidP="009F372E">
      <w:pPr>
        <w:spacing w:before="240"/>
        <w:ind w:firstLine="475"/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</w:pPr>
      <w:r w:rsidRPr="009F372E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Pr="009F372E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Tokyo Metropolitan University, Tokyo</w:t>
      </w:r>
      <w:r w:rsidR="003010C3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116-8551</w:t>
      </w:r>
      <w:r w:rsidRPr="009F372E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, Japan</w:t>
      </w:r>
    </w:p>
    <w:p w14:paraId="1F32679A" w14:textId="29BAA876" w:rsidR="009F372E" w:rsidRPr="009F372E" w:rsidRDefault="009F372E" w:rsidP="009F372E">
      <w:pPr>
        <w:ind w:firstLine="475"/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</w:pPr>
      <w:r w:rsidRPr="009F372E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Pr="009F372E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V.O. Chidambaram College, Tamil Nadu</w:t>
      </w:r>
      <w:r w:rsidR="003010C3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628008</w:t>
      </w:r>
      <w:r w:rsidRPr="009F372E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, India</w:t>
      </w:r>
    </w:p>
    <w:p w14:paraId="6BB63DFB" w14:textId="6FC92686" w:rsidR="009F372E" w:rsidRDefault="009F372E" w:rsidP="009F372E">
      <w:pPr>
        <w:ind w:firstLine="475"/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</w:pPr>
      <w:r w:rsidRPr="009F372E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3</w:t>
      </w:r>
      <w:r w:rsidRPr="009F372E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University of Hyderabad, Hyderabad</w:t>
      </w:r>
      <w:r w:rsidR="00E06C5B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500046</w:t>
      </w:r>
      <w:r w:rsidRPr="009F372E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, India</w:t>
      </w:r>
      <w:r w:rsidRPr="009F372E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 xml:space="preserve"> </w:t>
      </w:r>
    </w:p>
    <w:p w14:paraId="17F130C9" w14:textId="0AFCB7DF" w:rsidR="00502CF7" w:rsidRPr="000B320E" w:rsidRDefault="00502CF7" w:rsidP="009F372E">
      <w:pPr>
        <w:spacing w:before="240"/>
        <w:ind w:firstLine="475"/>
        <w:jc w:val="center"/>
        <w:rPr>
          <w:rFonts w:asciiTheme="minorHAnsi" w:hAnsiTheme="minorHAnsi" w:cstheme="minorHAnsi"/>
          <w:sz w:val="20"/>
        </w:rPr>
      </w:pPr>
      <w:r w:rsidRPr="000B320E">
        <w:rPr>
          <w:rFonts w:asciiTheme="minorHAnsi" w:eastAsia="Times New Roman" w:hAnsiTheme="minorHAnsi" w:cstheme="minorHAnsi"/>
          <w:color w:val="000000" w:themeColor="text1"/>
          <w:sz w:val="20"/>
        </w:rPr>
        <w:t>*</w:t>
      </w:r>
      <w:r w:rsidR="00AF5AC0" w:rsidRPr="000B320E">
        <w:rPr>
          <w:rFonts w:asciiTheme="minorHAnsi" w:hAnsiTheme="minorHAnsi" w:cstheme="minorHAnsi"/>
          <w:sz w:val="22"/>
        </w:rPr>
        <w:t xml:space="preserve"> </w:t>
      </w:r>
      <w:r w:rsidR="00AF5AC0"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e-mail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: </w:t>
      </w:r>
      <w:hyperlink r:id="rId6" w:history="1">
        <w:r w:rsidR="009F372E" w:rsidRPr="0018707D">
          <w:rPr>
            <w:rStyle w:val="Hyperlink"/>
            <w:rFonts w:asciiTheme="minorHAnsi" w:eastAsia="Times New Roman" w:hAnsiTheme="minorHAnsi" w:cstheme="minorHAnsi"/>
            <w:i/>
            <w:sz w:val="20"/>
          </w:rPr>
          <w:t>nthennarassan@gmail.com</w:t>
        </w:r>
      </w:hyperlink>
      <w:r w:rsidR="009F372E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 </w:t>
      </w:r>
    </w:p>
    <w:p w14:paraId="1AE9457F" w14:textId="1FD03FBF" w:rsidR="007908D5" w:rsidRDefault="007908D5" w:rsidP="00502CF7">
      <w:pPr>
        <w:spacing w:before="240"/>
        <w:ind w:firstLine="475"/>
        <w:rPr>
          <w:rFonts w:eastAsia="Times New Roman"/>
          <w:color w:val="000000" w:themeColor="text1"/>
        </w:rPr>
      </w:pPr>
    </w:p>
    <w:p w14:paraId="1EF8E95C" w14:textId="5245877C" w:rsidR="00B65868" w:rsidRDefault="00D55509">
      <w:pPr>
        <w:spacing w:before="240"/>
        <w:ind w:firstLine="0"/>
        <w:rPr>
          <w:rFonts w:asciiTheme="minorHAnsi" w:hAnsiTheme="minorHAnsi" w:cstheme="minorHAnsi"/>
          <w:sz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C729E8" wp14:editId="5AB5E132">
                <wp:simplePos x="0" y="0"/>
                <wp:positionH relativeFrom="margin">
                  <wp:posOffset>2731770</wp:posOffset>
                </wp:positionH>
                <wp:positionV relativeFrom="paragraph">
                  <wp:posOffset>4949825</wp:posOffset>
                </wp:positionV>
                <wp:extent cx="3028950" cy="635"/>
                <wp:effectExtent l="0" t="0" r="0" b="0"/>
                <wp:wrapTight wrapText="bothSides">
                  <wp:wrapPolygon edited="0">
                    <wp:start x="0" y="0"/>
                    <wp:lineTo x="0" y="19895"/>
                    <wp:lineTo x="21464" y="19895"/>
                    <wp:lineTo x="21464" y="0"/>
                    <wp:lineTo x="0" y="0"/>
                  </wp:wrapPolygon>
                </wp:wrapTight>
                <wp:docPr id="20016170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B6CB57" w14:textId="2ADF1D1F" w:rsidR="00D842BE" w:rsidRPr="00D842BE" w:rsidRDefault="00D842BE" w:rsidP="00D842BE">
                            <w:pPr>
                              <w:pStyle w:val="Caption"/>
                              <w:jc w:val="center"/>
                              <w:rPr>
                                <w:rFonts w:asciiTheme="minorHAnsi" w:eastAsia="Times New Roman" w:hAnsiTheme="minorHAnsi" w:cstheme="minorHAnsi"/>
                                <w:i w:val="0"/>
                                <w:iCs w:val="0"/>
                                <w:noProof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D842BE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1"/>
                                <w:szCs w:val="21"/>
                              </w:rPr>
                              <w:t>Fig. 2</w:t>
                            </w:r>
                            <w:r w:rsidRPr="00D842BE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1"/>
                                <w:szCs w:val="21"/>
                              </w:rPr>
                              <w:t xml:space="preserve"> Absorbed dose rate spatial distribution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C729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5.1pt;margin-top:389.75pt;width:238.5pt;height:.05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" stroked="f">
                <v:textbox style="mso-fit-shape-to-text:t" inset="0,0,0,0">
                  <w:txbxContent>
                    <w:p w14:paraId="6BB6CB57" w14:textId="2ADF1D1F" w:rsidR="00D842BE" w:rsidRPr="00D842BE" w:rsidRDefault="00D842BE" w:rsidP="00D842BE">
                      <w:pPr>
                        <w:pStyle w:val="aa"/>
                        <w:jc w:val="center"/>
                        <w:rPr>
                          <w:rFonts w:asciiTheme="minorHAnsi" w:eastAsia="Times New Roman" w:hAnsiTheme="minorHAnsi" w:cstheme="minorHAnsi"/>
                          <w:i w:val="0"/>
                          <w:iCs w:val="0"/>
                          <w:noProof/>
                          <w:color w:val="auto"/>
                          <w:sz w:val="21"/>
                          <w:szCs w:val="21"/>
                        </w:rPr>
                      </w:pPr>
                      <w:r w:rsidRPr="00D842BE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1"/>
                          <w:szCs w:val="21"/>
                        </w:rPr>
                        <w:t>Fig. 2</w:t>
                      </w:r>
                      <w:r w:rsidRPr="00D842BE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1"/>
                          <w:szCs w:val="21"/>
                        </w:rPr>
                        <w:t xml:space="preserve"> Absorbed dose rate spatial distribution map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eastAsia="Times New Roman" w:hAnsiTheme="minorHAnsi" w:cstheme="minorHAnsi"/>
          <w:noProof/>
          <w:color w:val="000000" w:themeColor="text1"/>
          <w:sz w:val="22"/>
        </w:rPr>
        <w:drawing>
          <wp:anchor distT="0" distB="0" distL="114300" distR="114300" simplePos="0" relativeHeight="251658240" behindDoc="1" locked="0" layoutInCell="1" allowOverlap="1" wp14:anchorId="21A83CFA" wp14:editId="18DC6907">
            <wp:simplePos x="0" y="0"/>
            <wp:positionH relativeFrom="margin">
              <wp:posOffset>2839720</wp:posOffset>
            </wp:positionH>
            <wp:positionV relativeFrom="paragraph">
              <wp:posOffset>3362325</wp:posOffset>
            </wp:positionV>
            <wp:extent cx="2921000" cy="1522095"/>
            <wp:effectExtent l="0" t="0" r="0" b="1905"/>
            <wp:wrapTight wrapText="bothSides">
              <wp:wrapPolygon edited="0">
                <wp:start x="0" y="0"/>
                <wp:lineTo x="0" y="21357"/>
                <wp:lineTo x="21412" y="21357"/>
                <wp:lineTo x="21412" y="0"/>
                <wp:lineTo x="0" y="0"/>
              </wp:wrapPolygon>
            </wp:wrapTight>
            <wp:docPr id="1112590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52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26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D21CC5" wp14:editId="7A074CCB">
                <wp:simplePos x="0" y="0"/>
                <wp:positionH relativeFrom="column">
                  <wp:posOffset>3361055</wp:posOffset>
                </wp:positionH>
                <wp:positionV relativeFrom="paragraph">
                  <wp:posOffset>1978025</wp:posOffset>
                </wp:positionV>
                <wp:extent cx="2120900" cy="228600"/>
                <wp:effectExtent l="0" t="0" r="0" b="0"/>
                <wp:wrapTight wrapText="bothSides">
                  <wp:wrapPolygon edited="0">
                    <wp:start x="0" y="0"/>
                    <wp:lineTo x="0" y="19800"/>
                    <wp:lineTo x="21341" y="19800"/>
                    <wp:lineTo x="21341" y="0"/>
                    <wp:lineTo x="0" y="0"/>
                  </wp:wrapPolygon>
                </wp:wrapTight>
                <wp:docPr id="4009584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228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4ABAC9" w14:textId="442D8434" w:rsidR="00D842BE" w:rsidRPr="00D842BE" w:rsidRDefault="00D842BE" w:rsidP="00D842BE">
                            <w:pPr>
                              <w:pStyle w:val="Caption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noProof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D842BE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1"/>
                                <w:szCs w:val="21"/>
                              </w:rPr>
                              <w:t xml:space="preserve">Fig. </w:t>
                            </w:r>
                            <w:r w:rsidR="006B4DEA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842BE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1"/>
                                <w:szCs w:val="21"/>
                              </w:rPr>
                              <w:t>Study area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21CC5" id="_x0000_s1027" type="#_x0000_t202" style="position:absolute;left:0;text-align:left;margin-left:264.65pt;margin-top:155.75pt;width:167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" stroked="f">
                <v:textbox inset="0,0,0,0">
                  <w:txbxContent>
                    <w:p w14:paraId="2C4ABAC9" w14:textId="442D8434" w:rsidR="00D842BE" w:rsidRPr="00D842BE" w:rsidRDefault="00D842BE" w:rsidP="00D842BE">
                      <w:pPr>
                        <w:pStyle w:val="aa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noProof/>
                          <w:color w:val="auto"/>
                          <w:sz w:val="21"/>
                          <w:szCs w:val="21"/>
                        </w:rPr>
                      </w:pPr>
                      <w:r w:rsidRPr="00D842BE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1"/>
                          <w:szCs w:val="21"/>
                        </w:rPr>
                        <w:t xml:space="preserve">Fig. </w:t>
                      </w:r>
                      <w:r w:rsidR="006B4DEA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 w:rsidRPr="00D842BE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1"/>
                          <w:szCs w:val="21"/>
                        </w:rPr>
                        <w:t>Study area map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842BE">
        <w:rPr>
          <w:rFonts w:asciiTheme="minorHAnsi" w:hAnsiTheme="minorHAnsi" w:cstheme="minorHAnsi"/>
          <w:noProof/>
          <w:sz w:val="22"/>
          <w:lang w:val="en-GB"/>
        </w:rPr>
        <w:drawing>
          <wp:anchor distT="0" distB="0" distL="114300" distR="114300" simplePos="0" relativeHeight="251659264" behindDoc="1" locked="0" layoutInCell="1" allowOverlap="1" wp14:anchorId="2A0AD51A" wp14:editId="70864B99">
            <wp:simplePos x="0" y="0"/>
            <wp:positionH relativeFrom="margin">
              <wp:posOffset>3373755</wp:posOffset>
            </wp:positionH>
            <wp:positionV relativeFrom="paragraph">
              <wp:posOffset>257175</wp:posOffset>
            </wp:positionV>
            <wp:extent cx="2254250" cy="1690370"/>
            <wp:effectExtent l="0" t="0" r="0" b="5080"/>
            <wp:wrapTight wrapText="bothSides">
              <wp:wrapPolygon edited="0">
                <wp:start x="0" y="0"/>
                <wp:lineTo x="0" y="21421"/>
                <wp:lineTo x="21357" y="21421"/>
                <wp:lineTo x="21357" y="0"/>
                <wp:lineTo x="0" y="0"/>
              </wp:wrapPolygon>
            </wp:wrapTight>
            <wp:docPr id="13468748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B3A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Assessing </w:t>
      </w:r>
      <w:r w:rsidR="00C74DB0" w:rsidRPr="00C74DB0">
        <w:rPr>
          <w:rFonts w:asciiTheme="minorHAnsi" w:eastAsia="Times New Roman" w:hAnsiTheme="minorHAnsi" w:cstheme="minorHAnsi"/>
          <w:color w:val="000000" w:themeColor="text1"/>
          <w:sz w:val="22"/>
        </w:rPr>
        <w:t>radiological risks to ecosystems</w:t>
      </w:r>
      <w:r w:rsidR="00C74DB0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</w:t>
      </w:r>
      <w:r w:rsidR="00C74DB0" w:rsidRPr="00C74DB0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agricultural systems, </w:t>
      </w:r>
      <w:r w:rsidR="00C74DB0">
        <w:rPr>
          <w:rFonts w:asciiTheme="minorHAnsi" w:eastAsia="Times New Roman" w:hAnsiTheme="minorHAnsi" w:cstheme="minorHAnsi"/>
          <w:color w:val="000000" w:themeColor="text1"/>
          <w:sz w:val="22"/>
        </w:rPr>
        <w:t>and public health</w:t>
      </w:r>
      <w:r w:rsidR="008A1B3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relies on</w:t>
      </w:r>
      <w:r w:rsidR="00C74DB0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 absorbed dose rate in air</w:t>
      </w:r>
      <w:r w:rsidR="00340735">
        <w:rPr>
          <w:rFonts w:ascii="MS Mincho" w:hAnsi="MS Mincho" w:cs="MS Mincho"/>
          <w:color w:val="000000" w:themeColor="text1"/>
          <w:sz w:val="22"/>
        </w:rPr>
        <w:t xml:space="preserve"> </w:t>
      </w:r>
      <w:r w:rsidR="00340735">
        <w:rPr>
          <w:rFonts w:asciiTheme="minorHAnsi" w:eastAsia="Times New Roman" w:hAnsiTheme="minorHAnsi" w:cstheme="minorHAnsi"/>
          <w:color w:val="000000" w:themeColor="text1"/>
          <w:sz w:val="22"/>
        </w:rPr>
        <w:t>(D</w:t>
      </w:r>
      <w:r w:rsidR="00340735" w:rsidRPr="00E7606D">
        <w:rPr>
          <w:rFonts w:asciiTheme="minorHAnsi" w:eastAsia="Times New Roman" w:hAnsiTheme="minorHAnsi" w:cstheme="minorHAnsi"/>
          <w:color w:val="000000" w:themeColor="text1"/>
          <w:sz w:val="22"/>
          <w:vertAlign w:val="subscript"/>
        </w:rPr>
        <w:t>air</w:t>
      </w:r>
      <w:r w:rsidR="00340735">
        <w:rPr>
          <w:rFonts w:asciiTheme="minorHAnsi" w:eastAsia="Times New Roman" w:hAnsiTheme="minorHAnsi" w:cstheme="minorHAnsi"/>
          <w:color w:val="000000" w:themeColor="text1"/>
          <w:sz w:val="22"/>
        </w:rPr>
        <w:t>)</w:t>
      </w:r>
      <w:r w:rsidR="00C74DB0">
        <w:rPr>
          <w:rFonts w:asciiTheme="minorHAnsi" w:eastAsia="Times New Roman" w:hAnsiTheme="minorHAnsi" w:cstheme="minorHAnsi"/>
          <w:color w:val="000000" w:themeColor="text1"/>
          <w:sz w:val="22"/>
        </w:rPr>
        <w:t>.</w:t>
      </w:r>
      <w:r w:rsidR="005C4FE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A00C9B">
        <w:rPr>
          <w:rFonts w:asciiTheme="minorHAnsi" w:eastAsia="Times New Roman" w:hAnsiTheme="minorHAnsi" w:cstheme="minorHAnsi"/>
          <w:color w:val="000000" w:themeColor="text1"/>
          <w:sz w:val="22"/>
        </w:rPr>
        <w:t>Since i</w:t>
      </w:r>
      <w:r w:rsidR="00400E0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 </w:t>
      </w:r>
      <w:r w:rsidR="00B84E1D">
        <w:rPr>
          <w:rFonts w:asciiTheme="minorHAnsi" w:eastAsia="Times New Roman" w:hAnsiTheme="minorHAnsi" w:cstheme="minorHAnsi"/>
          <w:color w:val="000000" w:themeColor="text1"/>
          <w:sz w:val="22"/>
        </w:rPr>
        <w:t>may</w:t>
      </w:r>
      <w:r w:rsidR="00400E0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not </w:t>
      </w:r>
      <w:r w:rsidR="00A00C9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always </w:t>
      </w:r>
      <w:r w:rsidR="00B84E1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be </w:t>
      </w:r>
      <w:r w:rsidR="00A00C9B">
        <w:rPr>
          <w:rFonts w:asciiTheme="minorHAnsi" w:eastAsia="Times New Roman" w:hAnsiTheme="minorHAnsi" w:cstheme="minorHAnsi"/>
          <w:color w:val="000000" w:themeColor="text1"/>
          <w:sz w:val="22"/>
        </w:rPr>
        <w:t>possible</w:t>
      </w:r>
      <w:r w:rsidR="00400E0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to measure and rely </w:t>
      </w:r>
      <w:r w:rsidR="00A00C9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solely </w:t>
      </w:r>
      <w:r w:rsidR="00400E0D">
        <w:rPr>
          <w:rFonts w:asciiTheme="minorHAnsi" w:eastAsia="Times New Roman" w:hAnsiTheme="minorHAnsi" w:cstheme="minorHAnsi"/>
          <w:color w:val="000000" w:themeColor="text1"/>
          <w:sz w:val="22"/>
        </w:rPr>
        <w:t>on point data</w:t>
      </w:r>
      <w:r w:rsidR="004B270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combining point data with other methods provides a more comprehensive assessment. </w:t>
      </w:r>
      <w:r w:rsidR="007A4AB8">
        <w:rPr>
          <w:rFonts w:asciiTheme="minorHAnsi" w:eastAsia="Times New Roman" w:hAnsiTheme="minorHAnsi" w:cstheme="minorHAnsi"/>
          <w:color w:val="000000" w:themeColor="text1"/>
          <w:sz w:val="22"/>
        </w:rPr>
        <w:t>Alternatively</w:t>
      </w:r>
      <w:r w:rsidR="00C74DB0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the car-borne survey technique </w:t>
      </w:r>
      <w:r w:rsidR="00841372">
        <w:rPr>
          <w:rFonts w:asciiTheme="minorHAnsi" w:eastAsia="Times New Roman" w:hAnsiTheme="minorHAnsi" w:cstheme="minorHAnsi"/>
          <w:color w:val="000000" w:themeColor="text1"/>
          <w:sz w:val="22"/>
        </w:rPr>
        <w:t>allows</w:t>
      </w:r>
      <w:r w:rsidR="00C74DB0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direct measurement of </w:t>
      </w:r>
      <w:r w:rsidR="00340735">
        <w:rPr>
          <w:rFonts w:asciiTheme="minorHAnsi" w:eastAsia="Times New Roman" w:hAnsiTheme="minorHAnsi" w:cstheme="minorHAnsi"/>
          <w:color w:val="000000" w:themeColor="text1"/>
          <w:sz w:val="22"/>
        </w:rPr>
        <w:t>D</w:t>
      </w:r>
      <w:r w:rsidR="00340735" w:rsidRPr="006E4419">
        <w:rPr>
          <w:rFonts w:asciiTheme="minorHAnsi" w:eastAsia="Times New Roman" w:hAnsiTheme="minorHAnsi" w:cstheme="minorHAnsi"/>
          <w:color w:val="000000" w:themeColor="text1"/>
          <w:sz w:val="22"/>
          <w:vertAlign w:val="subscript"/>
        </w:rPr>
        <w:t>air</w:t>
      </w:r>
      <w:r w:rsidR="00C74DB0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</w:t>
      </w:r>
      <w:r w:rsidR="00841372">
        <w:rPr>
          <w:rFonts w:asciiTheme="minorHAnsi" w:eastAsia="Times New Roman" w:hAnsiTheme="minorHAnsi" w:cstheme="minorHAnsi"/>
          <w:color w:val="000000" w:themeColor="text1"/>
          <w:sz w:val="22"/>
        </w:rPr>
        <w:t>providing</w:t>
      </w:r>
      <w:r w:rsidR="00C74DB0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 </w:t>
      </w:r>
      <w:r w:rsidR="00E444A2">
        <w:rPr>
          <w:rFonts w:asciiTheme="minorHAnsi" w:eastAsia="Times New Roman" w:hAnsiTheme="minorHAnsi" w:cstheme="minorHAnsi"/>
          <w:color w:val="000000" w:themeColor="text1"/>
          <w:sz w:val="22"/>
        </w:rPr>
        <w:t>thorough</w:t>
      </w:r>
      <w:r w:rsidR="00C74DB0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assessment of background radiation levels</w:t>
      </w:r>
      <w:r w:rsidR="00841372">
        <w:rPr>
          <w:rFonts w:asciiTheme="minorHAnsi" w:eastAsia="Times New Roman" w:hAnsiTheme="minorHAnsi" w:cstheme="minorHAnsi"/>
          <w:color w:val="000000" w:themeColor="text1"/>
          <w:sz w:val="22"/>
        </w:rPr>
        <w:t>.</w:t>
      </w:r>
      <w:r w:rsidR="00C74DB0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A03BC9">
        <w:rPr>
          <w:rFonts w:asciiTheme="minorHAnsi" w:eastAsia="Times New Roman" w:hAnsiTheme="minorHAnsi" w:cstheme="minorHAnsi"/>
          <w:color w:val="000000" w:themeColor="text1"/>
          <w:sz w:val="22"/>
        </w:rPr>
        <w:t>This study presents the natural gamma radiation survey</w:t>
      </w:r>
      <w:r w:rsidR="001F744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conducted</w:t>
      </w:r>
      <w:r w:rsidR="00A03BC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A00C9B" w:rsidRPr="00A00C9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using a vehicle-mounted </w:t>
      </w:r>
      <w:proofErr w:type="spellStart"/>
      <w:proofErr w:type="gramStart"/>
      <w:r w:rsidR="00A00C9B" w:rsidRPr="00A00C9B">
        <w:rPr>
          <w:rFonts w:asciiTheme="minorHAnsi" w:eastAsia="Times New Roman" w:hAnsiTheme="minorHAnsi" w:cstheme="minorHAnsi"/>
          <w:color w:val="000000" w:themeColor="text1"/>
          <w:sz w:val="22"/>
        </w:rPr>
        <w:t>NaI</w:t>
      </w:r>
      <w:proofErr w:type="spellEnd"/>
      <w:r w:rsidR="00A00C9B" w:rsidRPr="00A00C9B">
        <w:rPr>
          <w:rFonts w:asciiTheme="minorHAnsi" w:eastAsia="Times New Roman" w:hAnsiTheme="minorHAnsi" w:cstheme="minorHAnsi"/>
          <w:color w:val="000000" w:themeColor="text1"/>
          <w:sz w:val="22"/>
        </w:rPr>
        <w:t>(</w:t>
      </w:r>
      <w:proofErr w:type="gramEnd"/>
      <w:r w:rsidR="00A00C9B" w:rsidRPr="00A00C9B">
        <w:rPr>
          <w:rFonts w:asciiTheme="minorHAnsi" w:eastAsia="Times New Roman" w:hAnsiTheme="minorHAnsi" w:cstheme="minorHAnsi"/>
          <w:color w:val="000000" w:themeColor="text1"/>
          <w:sz w:val="22"/>
        </w:rPr>
        <w:t>Tl) scintillation spectrometer</w:t>
      </w:r>
      <w:r w:rsidR="00A00C9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A03BC9">
        <w:rPr>
          <w:rFonts w:asciiTheme="minorHAnsi" w:eastAsia="Times New Roman" w:hAnsiTheme="minorHAnsi" w:cstheme="minorHAnsi"/>
          <w:color w:val="000000" w:themeColor="text1"/>
          <w:sz w:val="22"/>
        </w:rPr>
        <w:t>in the coastal and hinterland regions of Kanyakumari, a high background natural radiation area (HBNRA)</w:t>
      </w:r>
      <w:r w:rsidR="0057230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in India</w:t>
      </w:r>
      <w:r w:rsidR="00D842B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(Fig. 1)</w:t>
      </w:r>
      <w:r w:rsidR="00A03BC9">
        <w:rPr>
          <w:rFonts w:asciiTheme="minorHAnsi" w:eastAsia="Times New Roman" w:hAnsiTheme="minorHAnsi" w:cstheme="minorHAnsi"/>
          <w:color w:val="000000" w:themeColor="text1"/>
          <w:sz w:val="22"/>
        </w:rPr>
        <w:t>.</w:t>
      </w:r>
      <w:r w:rsidR="00CA45A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EC5FF1">
        <w:rPr>
          <w:rFonts w:asciiTheme="minorHAnsi" w:eastAsia="Times New Roman" w:hAnsiTheme="minorHAnsi" w:cstheme="minorHAnsi"/>
          <w:color w:val="000000" w:themeColor="text1"/>
          <w:sz w:val="22"/>
        </w:rPr>
        <w:t>T</w:t>
      </w:r>
      <w:r w:rsidR="001F7445">
        <w:rPr>
          <w:rFonts w:asciiTheme="minorHAnsi" w:eastAsia="Times New Roman" w:hAnsiTheme="minorHAnsi" w:cstheme="minorHAnsi"/>
          <w:color w:val="000000" w:themeColor="text1"/>
          <w:sz w:val="22"/>
        </w:rPr>
        <w:t>he</w:t>
      </w:r>
      <w:r w:rsidR="00EC5FF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comprehensive study allowed the authors to </w:t>
      </w:r>
      <w:r w:rsidR="001F7445">
        <w:rPr>
          <w:rFonts w:asciiTheme="minorHAnsi" w:eastAsia="Times New Roman" w:hAnsiTheme="minorHAnsi" w:cstheme="minorHAnsi"/>
          <w:color w:val="000000" w:themeColor="text1"/>
          <w:sz w:val="22"/>
        </w:rPr>
        <w:t>distinguish</w:t>
      </w:r>
      <w:r w:rsidR="00EC5FF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 background radiation levels </w:t>
      </w:r>
      <w:r w:rsidR="001F7445">
        <w:rPr>
          <w:rFonts w:asciiTheme="minorHAnsi" w:eastAsia="Times New Roman" w:hAnsiTheme="minorHAnsi" w:cstheme="minorHAnsi"/>
          <w:color w:val="000000" w:themeColor="text1"/>
          <w:sz w:val="22"/>
        </w:rPr>
        <w:t>between</w:t>
      </w:r>
      <w:r w:rsidR="00EC5FF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 coast</w:t>
      </w:r>
      <w:r w:rsidR="001F7445">
        <w:rPr>
          <w:rFonts w:asciiTheme="minorHAnsi" w:eastAsia="Times New Roman" w:hAnsiTheme="minorHAnsi" w:cstheme="minorHAnsi"/>
          <w:color w:val="000000" w:themeColor="text1"/>
          <w:sz w:val="22"/>
        </w:rPr>
        <w:t>al</w:t>
      </w:r>
      <w:r w:rsidR="00EC5FF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and hinterland regions. Most of the coastal regions exhibited high background natural radiation</w:t>
      </w:r>
      <w:r w:rsidR="00E839C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F1149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levels </w:t>
      </w:r>
      <w:r w:rsidR="00E839CC">
        <w:rPr>
          <w:rFonts w:asciiTheme="minorHAnsi" w:eastAsia="Times New Roman" w:hAnsiTheme="minorHAnsi" w:cstheme="minorHAnsi"/>
          <w:color w:val="000000" w:themeColor="text1"/>
          <w:sz w:val="22"/>
        </w:rPr>
        <w:t>(</w:t>
      </w:r>
      <w:r w:rsidR="00BA767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ranging between </w:t>
      </w:r>
      <w:r w:rsidR="00702FF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39.11 – 1796 </w:t>
      </w:r>
      <w:proofErr w:type="spellStart"/>
      <w:r w:rsidR="00702FFB">
        <w:rPr>
          <w:rFonts w:asciiTheme="minorHAnsi" w:eastAsia="Times New Roman" w:hAnsiTheme="minorHAnsi" w:cstheme="minorHAnsi"/>
          <w:color w:val="000000" w:themeColor="text1"/>
          <w:sz w:val="22"/>
        </w:rPr>
        <w:t>nGy</w:t>
      </w:r>
      <w:proofErr w:type="spellEnd"/>
      <w:r w:rsidR="00702FF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h</w:t>
      </w:r>
      <w:r w:rsidR="00702FFB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-1</w:t>
      </w:r>
      <w:r w:rsidR="00A95F5E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  <w:r w:rsidR="00702FFB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 xml:space="preserve"> </w:t>
      </w:r>
      <w:r w:rsidR="00702FF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with a geometric mean of 150.2 ± 211.4 </w:t>
      </w:r>
      <w:proofErr w:type="spellStart"/>
      <w:r w:rsidR="00702FFB">
        <w:rPr>
          <w:rFonts w:asciiTheme="minorHAnsi" w:eastAsia="Times New Roman" w:hAnsiTheme="minorHAnsi" w:cstheme="minorHAnsi"/>
          <w:color w:val="000000" w:themeColor="text1"/>
          <w:sz w:val="22"/>
        </w:rPr>
        <w:t>nGy</w:t>
      </w:r>
      <w:proofErr w:type="spellEnd"/>
      <w:r w:rsidR="00702FF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h</w:t>
      </w:r>
      <w:r w:rsidR="00702FFB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-1</w:t>
      </w:r>
      <w:r w:rsidR="00E839CC">
        <w:rPr>
          <w:rFonts w:asciiTheme="minorHAnsi" w:eastAsia="Times New Roman" w:hAnsiTheme="minorHAnsi" w:cstheme="minorHAnsi"/>
          <w:color w:val="000000" w:themeColor="text1"/>
          <w:sz w:val="22"/>
        </w:rPr>
        <w:t>)</w:t>
      </w:r>
      <w:r w:rsidR="00EC5FF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</w:t>
      </w:r>
      <w:r w:rsidR="0096308E">
        <w:rPr>
          <w:rFonts w:asciiTheme="minorHAnsi" w:eastAsia="Times New Roman" w:hAnsiTheme="minorHAnsi" w:cstheme="minorHAnsi"/>
          <w:color w:val="000000" w:themeColor="text1"/>
          <w:sz w:val="22"/>
        </w:rPr>
        <w:t>while a</w:t>
      </w:r>
      <w:r w:rsidR="00EC5FF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few of the hinterland regions </w:t>
      </w:r>
      <w:r w:rsidR="00096003">
        <w:rPr>
          <w:rFonts w:asciiTheme="minorHAnsi" w:eastAsia="Times New Roman" w:hAnsiTheme="minorHAnsi" w:cstheme="minorHAnsi"/>
          <w:color w:val="000000" w:themeColor="text1"/>
          <w:sz w:val="22"/>
        </w:rPr>
        <w:t>exhibited</w:t>
      </w:r>
      <w:r w:rsidR="00EC5FF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1F7445">
        <w:rPr>
          <w:rFonts w:asciiTheme="minorHAnsi" w:eastAsia="Times New Roman" w:hAnsiTheme="minorHAnsi" w:cstheme="minorHAnsi"/>
          <w:color w:val="000000" w:themeColor="text1"/>
          <w:sz w:val="22"/>
        </w:rPr>
        <w:t>elevated background radiation levels</w:t>
      </w:r>
      <w:r w:rsidR="00E839C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(</w:t>
      </w:r>
      <w:r w:rsidR="00BA767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ranging between </w:t>
      </w:r>
      <w:r w:rsidR="00702FF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44.28 – 456.4 </w:t>
      </w:r>
      <w:proofErr w:type="spellStart"/>
      <w:r w:rsidR="00702FFB">
        <w:rPr>
          <w:rFonts w:asciiTheme="minorHAnsi" w:eastAsia="Times New Roman" w:hAnsiTheme="minorHAnsi" w:cstheme="minorHAnsi"/>
          <w:color w:val="000000" w:themeColor="text1"/>
          <w:sz w:val="22"/>
        </w:rPr>
        <w:t>nGy</w:t>
      </w:r>
      <w:proofErr w:type="spellEnd"/>
      <w:r w:rsidR="00702FF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h</w:t>
      </w:r>
      <w:r w:rsidR="00702FFB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-1</w:t>
      </w:r>
      <w:r w:rsidR="00A95F5E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  <w:r w:rsidR="00702FF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with a geometric mean of 118.6 ± 53.11 </w:t>
      </w:r>
      <w:proofErr w:type="spellStart"/>
      <w:r w:rsidR="00702FFB">
        <w:rPr>
          <w:rFonts w:asciiTheme="minorHAnsi" w:eastAsia="Times New Roman" w:hAnsiTheme="minorHAnsi" w:cstheme="minorHAnsi"/>
          <w:color w:val="000000" w:themeColor="text1"/>
          <w:sz w:val="22"/>
        </w:rPr>
        <w:t>nGy</w:t>
      </w:r>
      <w:proofErr w:type="spellEnd"/>
      <w:r w:rsidR="00702FF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h</w:t>
      </w:r>
      <w:r w:rsidR="00702FFB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-1</w:t>
      </w:r>
      <w:r w:rsidR="00E839CC">
        <w:rPr>
          <w:rFonts w:asciiTheme="minorHAnsi" w:eastAsia="Times New Roman" w:hAnsiTheme="minorHAnsi" w:cstheme="minorHAnsi"/>
          <w:color w:val="000000" w:themeColor="text1"/>
          <w:sz w:val="22"/>
        </w:rPr>
        <w:t>)</w:t>
      </w:r>
      <w:r w:rsidR="00EC5FF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</w:t>
      </w:r>
      <w:r w:rsidR="005F174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z-score for the </w:t>
      </w:r>
      <w:r w:rsidR="00340735">
        <w:rPr>
          <w:rFonts w:asciiTheme="minorHAnsi" w:eastAsia="Times New Roman" w:hAnsiTheme="minorHAnsi" w:cstheme="minorHAnsi"/>
          <w:color w:val="000000" w:themeColor="text1"/>
          <w:sz w:val="22"/>
        </w:rPr>
        <w:t>D</w:t>
      </w:r>
      <w:r w:rsidR="00340735" w:rsidRPr="006E4419">
        <w:rPr>
          <w:rFonts w:asciiTheme="minorHAnsi" w:eastAsia="Times New Roman" w:hAnsiTheme="minorHAnsi" w:cstheme="minorHAnsi"/>
          <w:color w:val="000000" w:themeColor="text1"/>
          <w:sz w:val="22"/>
          <w:vertAlign w:val="subscript"/>
        </w:rPr>
        <w:t>air</w:t>
      </w:r>
      <w:r w:rsidR="005F174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in the coastal area, with 1262 points, suggested 28 extreme outliers and 53 mild outliers, whereas the z-score for the </w:t>
      </w:r>
      <w:r w:rsidR="00340735">
        <w:rPr>
          <w:rFonts w:asciiTheme="minorHAnsi" w:eastAsia="Times New Roman" w:hAnsiTheme="minorHAnsi" w:cstheme="minorHAnsi"/>
          <w:color w:val="000000" w:themeColor="text1"/>
          <w:sz w:val="22"/>
        </w:rPr>
        <w:t>D</w:t>
      </w:r>
      <w:r w:rsidR="00340735" w:rsidRPr="006E4419">
        <w:rPr>
          <w:rFonts w:asciiTheme="minorHAnsi" w:eastAsia="Times New Roman" w:hAnsiTheme="minorHAnsi" w:cstheme="minorHAnsi"/>
          <w:color w:val="000000" w:themeColor="text1"/>
          <w:sz w:val="22"/>
          <w:vertAlign w:val="subscript"/>
        </w:rPr>
        <w:t>air</w:t>
      </w:r>
      <w:r w:rsidR="005F174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of the hinterland region, with 882 points</w:t>
      </w:r>
      <w:r w:rsidR="00C957B9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  <w:r w:rsidR="005F174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suggested 19 </w:t>
      </w:r>
      <w:r w:rsidR="0096308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extreme </w:t>
      </w:r>
      <w:r w:rsidR="005F174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and 36 mild outliers. </w:t>
      </w:r>
      <w:r w:rsidR="00C957B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dose distribution map, created using the 2144 data points, clearly </w:t>
      </w:r>
      <w:r w:rsidR="00096003">
        <w:rPr>
          <w:rFonts w:asciiTheme="minorHAnsi" w:eastAsia="Times New Roman" w:hAnsiTheme="minorHAnsi" w:cstheme="minorHAnsi"/>
          <w:color w:val="000000" w:themeColor="text1"/>
          <w:sz w:val="22"/>
        </w:rPr>
        <w:t>displayed</w:t>
      </w:r>
      <w:r w:rsidR="00C957B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these outliers as hotspots</w:t>
      </w:r>
      <w:r w:rsidR="00D842B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(Fig. 2)</w:t>
      </w:r>
      <w:r w:rsidR="00FD762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</w:t>
      </w:r>
      <w:r w:rsidR="004121F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frequency distribution of </w:t>
      </w:r>
      <w:r w:rsidR="00340735">
        <w:rPr>
          <w:rFonts w:asciiTheme="minorHAnsi" w:eastAsia="Times New Roman" w:hAnsiTheme="minorHAnsi" w:cstheme="minorHAnsi"/>
          <w:color w:val="000000" w:themeColor="text1"/>
          <w:sz w:val="22"/>
        </w:rPr>
        <w:t>D</w:t>
      </w:r>
      <w:r w:rsidR="00340735" w:rsidRPr="006E4419">
        <w:rPr>
          <w:rFonts w:asciiTheme="minorHAnsi" w:eastAsia="Times New Roman" w:hAnsiTheme="minorHAnsi" w:cstheme="minorHAnsi"/>
          <w:color w:val="000000" w:themeColor="text1"/>
          <w:sz w:val="22"/>
          <w:vertAlign w:val="subscript"/>
        </w:rPr>
        <w:t>air</w:t>
      </w:r>
      <w:r w:rsidR="004121F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was right skewed</w:t>
      </w:r>
      <w:r w:rsidR="00D519F4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  <w:r w:rsidR="004121F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with </w:t>
      </w:r>
      <w:r w:rsidR="00D519F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tail </w:t>
      </w:r>
      <w:r w:rsidR="004121F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extending </w:t>
      </w:r>
      <w:r w:rsidR="00D519F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asymmetrically </w:t>
      </w:r>
      <w:r w:rsidR="004121F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towards </w:t>
      </w:r>
      <w:r w:rsidR="00D519F4">
        <w:rPr>
          <w:rFonts w:asciiTheme="minorHAnsi" w:eastAsia="Times New Roman" w:hAnsiTheme="minorHAnsi" w:cstheme="minorHAnsi"/>
          <w:color w:val="000000" w:themeColor="text1"/>
          <w:sz w:val="22"/>
        </w:rPr>
        <w:t>more positive values</w:t>
      </w:r>
      <w:r w:rsidR="004121F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</w:t>
      </w:r>
      <w:r w:rsidR="00800AC0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resulting p-value from the t-test was less than 0.05, indicated a statistically significant difference between the dose rates of the coastal and hinterland regions.  </w:t>
      </w:r>
    </w:p>
    <w:sectPr w:rsidR="00B65868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3CF1F" w14:textId="77777777" w:rsidR="009C7731" w:rsidRDefault="009C7731" w:rsidP="007908D5">
      <w:r>
        <w:separator/>
      </w:r>
    </w:p>
  </w:endnote>
  <w:endnote w:type="continuationSeparator" w:id="0">
    <w:p w14:paraId="7F5CADCA" w14:textId="77777777" w:rsidR="009C7731" w:rsidRDefault="009C7731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9D0F7" w14:textId="77777777" w:rsidR="009C7731" w:rsidRDefault="009C7731" w:rsidP="007908D5">
      <w:r>
        <w:separator/>
      </w:r>
    </w:p>
  </w:footnote>
  <w:footnote w:type="continuationSeparator" w:id="0">
    <w:p w14:paraId="5858E31A" w14:textId="77777777" w:rsidR="009C7731" w:rsidRDefault="009C7731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33BD2"/>
    <w:rsid w:val="00047641"/>
    <w:rsid w:val="00096003"/>
    <w:rsid w:val="000A60D3"/>
    <w:rsid w:val="000B320E"/>
    <w:rsid w:val="000D2FBF"/>
    <w:rsid w:val="000D6FC1"/>
    <w:rsid w:val="000D7C41"/>
    <w:rsid w:val="0016452F"/>
    <w:rsid w:val="001741F3"/>
    <w:rsid w:val="00194DF3"/>
    <w:rsid w:val="001D346B"/>
    <w:rsid w:val="001F7445"/>
    <w:rsid w:val="002A5735"/>
    <w:rsid w:val="003010C3"/>
    <w:rsid w:val="00340735"/>
    <w:rsid w:val="00347CAC"/>
    <w:rsid w:val="00380A21"/>
    <w:rsid w:val="003E226B"/>
    <w:rsid w:val="00400E0D"/>
    <w:rsid w:val="004121F4"/>
    <w:rsid w:val="00424782"/>
    <w:rsid w:val="0042512F"/>
    <w:rsid w:val="0047582C"/>
    <w:rsid w:val="0047612B"/>
    <w:rsid w:val="004B2701"/>
    <w:rsid w:val="004C60EC"/>
    <w:rsid w:val="004C7AEB"/>
    <w:rsid w:val="004E2C7A"/>
    <w:rsid w:val="004F6145"/>
    <w:rsid w:val="00502CF7"/>
    <w:rsid w:val="00572304"/>
    <w:rsid w:val="005C4FE8"/>
    <w:rsid w:val="005D3CA5"/>
    <w:rsid w:val="005F174B"/>
    <w:rsid w:val="0064516D"/>
    <w:rsid w:val="00654F87"/>
    <w:rsid w:val="00684435"/>
    <w:rsid w:val="006969B3"/>
    <w:rsid w:val="006B4DEA"/>
    <w:rsid w:val="006D0035"/>
    <w:rsid w:val="00702FFB"/>
    <w:rsid w:val="007908D5"/>
    <w:rsid w:val="00793CE7"/>
    <w:rsid w:val="007A4AB8"/>
    <w:rsid w:val="007A54D4"/>
    <w:rsid w:val="00800AC0"/>
    <w:rsid w:val="00826A86"/>
    <w:rsid w:val="00826D2A"/>
    <w:rsid w:val="00841372"/>
    <w:rsid w:val="008A1B3A"/>
    <w:rsid w:val="008F72F8"/>
    <w:rsid w:val="00915C59"/>
    <w:rsid w:val="0096308E"/>
    <w:rsid w:val="009C7731"/>
    <w:rsid w:val="009F372E"/>
    <w:rsid w:val="00A00C9B"/>
    <w:rsid w:val="00A03BC9"/>
    <w:rsid w:val="00A07082"/>
    <w:rsid w:val="00A1200F"/>
    <w:rsid w:val="00A14BEA"/>
    <w:rsid w:val="00A31334"/>
    <w:rsid w:val="00A95F5E"/>
    <w:rsid w:val="00AA3D5A"/>
    <w:rsid w:val="00AA7929"/>
    <w:rsid w:val="00AF5AC0"/>
    <w:rsid w:val="00B41CB9"/>
    <w:rsid w:val="00B65868"/>
    <w:rsid w:val="00B7763F"/>
    <w:rsid w:val="00B84E1D"/>
    <w:rsid w:val="00BA7671"/>
    <w:rsid w:val="00BF322B"/>
    <w:rsid w:val="00C310AF"/>
    <w:rsid w:val="00C74DB0"/>
    <w:rsid w:val="00C87CAD"/>
    <w:rsid w:val="00C957B9"/>
    <w:rsid w:val="00CA45A3"/>
    <w:rsid w:val="00CB2FBD"/>
    <w:rsid w:val="00CB4471"/>
    <w:rsid w:val="00CD7CBF"/>
    <w:rsid w:val="00CE1F35"/>
    <w:rsid w:val="00D32B42"/>
    <w:rsid w:val="00D45F9C"/>
    <w:rsid w:val="00D519F4"/>
    <w:rsid w:val="00D55509"/>
    <w:rsid w:val="00D842BE"/>
    <w:rsid w:val="00E06C5B"/>
    <w:rsid w:val="00E444A2"/>
    <w:rsid w:val="00E626B0"/>
    <w:rsid w:val="00E7606D"/>
    <w:rsid w:val="00E839CC"/>
    <w:rsid w:val="00EC5FF1"/>
    <w:rsid w:val="00EC61F7"/>
    <w:rsid w:val="00F11494"/>
    <w:rsid w:val="00F24662"/>
    <w:rsid w:val="00F64420"/>
    <w:rsid w:val="00FD12B1"/>
    <w:rsid w:val="00FD7621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2CF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NoSpacing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1200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D842BE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340735"/>
    <w:pPr>
      <w:spacing w:after="0" w:line="240" w:lineRule="auto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thennarassa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IFJ PAN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Natarajan Thennaarassan</cp:lastModifiedBy>
  <cp:revision>46</cp:revision>
  <cp:lastPrinted>2024-12-12T14:03:00Z</cp:lastPrinted>
  <dcterms:created xsi:type="dcterms:W3CDTF">2025-04-03T06:56:00Z</dcterms:created>
  <dcterms:modified xsi:type="dcterms:W3CDTF">2025-04-11T12:14:00Z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