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C2E3" w14:textId="77777777" w:rsidR="002E0522" w:rsidRPr="002E0522" w:rsidRDefault="002E0522" w:rsidP="002E0522">
      <w:pPr>
        <w:jc w:val="center"/>
        <w:rPr>
          <w:rFonts w:asciiTheme="minorHAnsi" w:hAnsiTheme="minorHAnsi" w:cstheme="minorHAnsi"/>
          <w:b/>
          <w:bCs/>
          <w:sz w:val="28"/>
          <w:szCs w:val="28"/>
        </w:rPr>
      </w:pPr>
      <w:r w:rsidRPr="002E0522">
        <w:rPr>
          <w:rFonts w:asciiTheme="minorHAnsi" w:hAnsiTheme="minorHAnsi" w:cstheme="minorHAnsi"/>
          <w:b/>
          <w:bCs/>
          <w:sz w:val="28"/>
          <w:szCs w:val="28"/>
        </w:rPr>
        <w:t>Determination of natural radioactivity and the associated radiation hazards in decorated vitrified tiles collected from Tamil Nadu, India</w:t>
      </w:r>
    </w:p>
    <w:p w14:paraId="2265D77A" w14:textId="0F08132E" w:rsidR="00502CF7" w:rsidRPr="000D7C41" w:rsidRDefault="002E0522" w:rsidP="00502CF7">
      <w:pPr>
        <w:spacing w:before="187"/>
        <w:ind w:firstLine="475"/>
        <w:jc w:val="center"/>
        <w:rPr>
          <w:rFonts w:asciiTheme="minorHAnsi" w:hAnsiTheme="minorHAnsi" w:cstheme="minorHAnsi"/>
          <w:b/>
          <w:sz w:val="22"/>
          <w:szCs w:val="22"/>
        </w:rPr>
      </w:pPr>
      <w:r>
        <w:rPr>
          <w:rFonts w:asciiTheme="minorHAnsi" w:eastAsia="Times New Roman" w:hAnsiTheme="minorHAnsi" w:cstheme="minorHAnsi"/>
          <w:b/>
          <w:color w:val="000000" w:themeColor="text1"/>
          <w:sz w:val="22"/>
          <w:szCs w:val="22"/>
        </w:rPr>
        <w:t>A. Chandrasekaran</w:t>
      </w:r>
      <w:r w:rsidR="00502CF7" w:rsidRPr="000D7C41">
        <w:rPr>
          <w:rFonts w:asciiTheme="minorHAnsi" w:eastAsia="Times New Roman" w:hAnsiTheme="minorHAnsi" w:cstheme="minorHAnsi"/>
          <w:b/>
          <w:color w:val="000000" w:themeColor="text1"/>
          <w:sz w:val="22"/>
          <w:szCs w:val="22"/>
        </w:rPr>
        <w:t>,</w:t>
      </w:r>
      <w:proofErr w:type="gramStart"/>
      <w:r w:rsidR="00502CF7" w:rsidRPr="000D7C41">
        <w:rPr>
          <w:rFonts w:asciiTheme="minorHAnsi" w:eastAsia="Times New Roman" w:hAnsiTheme="minorHAnsi" w:cstheme="minorHAnsi"/>
          <w:b/>
          <w:color w:val="000000" w:themeColor="text1"/>
          <w:sz w:val="22"/>
          <w:szCs w:val="22"/>
          <w:vertAlign w:val="superscript"/>
        </w:rPr>
        <w:t>1,</w:t>
      </w:r>
      <w:r w:rsidR="00502CF7" w:rsidRPr="000D7C41">
        <w:rPr>
          <w:rFonts w:asciiTheme="minorHAnsi" w:eastAsia="Times New Roman" w:hAnsiTheme="minorHAnsi" w:cstheme="minorHAnsi"/>
          <w:b/>
          <w:color w:val="000000" w:themeColor="text1"/>
          <w:sz w:val="22"/>
          <w:szCs w:val="22"/>
        </w:rPr>
        <w:t>*</w:t>
      </w:r>
      <w:proofErr w:type="gramEnd"/>
      <w:r w:rsidR="00502CF7" w:rsidRPr="000D7C41">
        <w:rPr>
          <w:rFonts w:asciiTheme="minorHAnsi" w:eastAsia="Times New Roman" w:hAnsiTheme="minorHAnsi" w:cstheme="minorHAnsi"/>
          <w:b/>
          <w:color w:val="000000" w:themeColor="text1"/>
          <w:sz w:val="22"/>
          <w:szCs w:val="22"/>
        </w:rPr>
        <w:t xml:space="preserve"> </w:t>
      </w:r>
      <w:r w:rsidRPr="002E0522">
        <w:rPr>
          <w:rFonts w:asciiTheme="minorHAnsi" w:hAnsiTheme="minorHAnsi" w:cstheme="minorHAnsi"/>
          <w:b/>
          <w:bCs/>
          <w:color w:val="222222"/>
          <w:sz w:val="22"/>
          <w:szCs w:val="22"/>
        </w:rPr>
        <w:t>Ismail M. M. Rahman</w:t>
      </w:r>
      <w:r w:rsidRPr="002E0522">
        <w:rPr>
          <w:rFonts w:asciiTheme="minorHAnsi" w:eastAsia="Times New Roman" w:hAnsiTheme="minorHAnsi" w:cstheme="minorHAnsi"/>
          <w:b/>
          <w:color w:val="000000" w:themeColor="text1"/>
          <w:sz w:val="22"/>
          <w:szCs w:val="22"/>
          <w:vertAlign w:val="superscript"/>
        </w:rPr>
        <w:t>2</w:t>
      </w:r>
      <w:r w:rsidR="00502CF7" w:rsidRPr="000D7C41">
        <w:rPr>
          <w:rFonts w:asciiTheme="minorHAnsi" w:eastAsia="Times New Roman" w:hAnsiTheme="minorHAnsi" w:cstheme="minorHAnsi"/>
          <w:b/>
          <w:color w:val="000000" w:themeColor="text1"/>
          <w:sz w:val="22"/>
          <w:szCs w:val="22"/>
        </w:rPr>
        <w:t xml:space="preserve"> </w:t>
      </w:r>
    </w:p>
    <w:p w14:paraId="65B46CFF" w14:textId="77777777" w:rsidR="002E0522" w:rsidRDefault="00502CF7" w:rsidP="00502CF7">
      <w:pPr>
        <w:spacing w:before="240"/>
        <w:ind w:firstLine="475"/>
        <w:jc w:val="center"/>
        <w:rPr>
          <w:rFonts w:asciiTheme="minorHAnsi" w:eastAsia="Times New Roman" w:hAnsiTheme="minorHAnsi" w:cstheme="minorHAnsi"/>
          <w:i/>
          <w:iCs/>
          <w:color w:val="000000" w:themeColor="text1"/>
          <w:sz w:val="20"/>
          <w:szCs w:val="20"/>
          <w:vertAlign w:val="superscript"/>
        </w:rPr>
      </w:pPr>
      <w:r w:rsidRPr="000D7C41">
        <w:rPr>
          <w:rFonts w:asciiTheme="minorHAnsi" w:eastAsia="Times New Roman" w:hAnsiTheme="minorHAnsi" w:cstheme="minorHAnsi"/>
          <w:i/>
          <w:iCs/>
          <w:color w:val="000000" w:themeColor="text1"/>
          <w:sz w:val="20"/>
          <w:szCs w:val="20"/>
          <w:vertAlign w:val="superscript"/>
        </w:rPr>
        <w:t>1</w:t>
      </w:r>
    </w:p>
    <w:p w14:paraId="55C650F8" w14:textId="77777777" w:rsidR="002E0522" w:rsidRPr="002E0522" w:rsidRDefault="002E0522" w:rsidP="002E0522">
      <w:pPr>
        <w:spacing w:line="276" w:lineRule="auto"/>
        <w:jc w:val="center"/>
        <w:rPr>
          <w:rFonts w:asciiTheme="minorHAnsi" w:hAnsiTheme="minorHAnsi" w:cstheme="minorHAnsi"/>
          <w:i/>
          <w:iCs/>
          <w:color w:val="000000" w:themeColor="text1"/>
          <w:sz w:val="20"/>
          <w:szCs w:val="20"/>
        </w:rPr>
      </w:pPr>
      <w:r w:rsidRPr="002E0522">
        <w:rPr>
          <w:rFonts w:asciiTheme="minorHAnsi" w:hAnsiTheme="minorHAnsi" w:cstheme="minorHAnsi"/>
          <w:i/>
          <w:iCs/>
          <w:color w:val="000000" w:themeColor="text1"/>
          <w:sz w:val="20"/>
          <w:szCs w:val="20"/>
          <w:vertAlign w:val="superscript"/>
        </w:rPr>
        <w:t>1</w:t>
      </w:r>
      <w:r w:rsidRPr="002E0522">
        <w:rPr>
          <w:rFonts w:asciiTheme="minorHAnsi" w:hAnsiTheme="minorHAnsi" w:cstheme="minorHAnsi"/>
          <w:i/>
          <w:iCs/>
          <w:color w:val="000000" w:themeColor="text1"/>
          <w:sz w:val="20"/>
          <w:szCs w:val="20"/>
        </w:rPr>
        <w:t xml:space="preserve">Department of Physics, Sri Sivasubramaniya Nadar College of Engineering (Autonomous), Kalavakkam, 603 110, Chennai, Tamil Nadu, India </w:t>
      </w:r>
    </w:p>
    <w:p w14:paraId="341D2E3C" w14:textId="77777777" w:rsidR="002E0522" w:rsidRPr="002E0522" w:rsidRDefault="002E0522" w:rsidP="002E0522">
      <w:pPr>
        <w:spacing w:line="276" w:lineRule="auto"/>
        <w:jc w:val="center"/>
        <w:rPr>
          <w:rFonts w:asciiTheme="minorHAnsi" w:hAnsiTheme="minorHAnsi" w:cstheme="minorHAnsi"/>
          <w:i/>
          <w:iCs/>
          <w:color w:val="222222"/>
          <w:sz w:val="20"/>
          <w:szCs w:val="20"/>
        </w:rPr>
      </w:pPr>
      <w:r w:rsidRPr="002E0522">
        <w:rPr>
          <w:rFonts w:asciiTheme="minorHAnsi" w:hAnsiTheme="minorHAnsi" w:cstheme="minorHAnsi"/>
          <w:i/>
          <w:iCs/>
          <w:color w:val="222222"/>
          <w:sz w:val="20"/>
          <w:szCs w:val="20"/>
          <w:vertAlign w:val="superscript"/>
        </w:rPr>
        <w:t>2</w:t>
      </w:r>
      <w:r w:rsidRPr="002E0522">
        <w:rPr>
          <w:rFonts w:asciiTheme="minorHAnsi" w:hAnsiTheme="minorHAnsi" w:cstheme="minorHAnsi"/>
          <w:i/>
          <w:iCs/>
          <w:color w:val="222222"/>
          <w:sz w:val="20"/>
          <w:szCs w:val="20"/>
        </w:rPr>
        <w:t>Institute of Environmental Radioactivity, Fukushima University, 1 Kanayagawa, Fukushima City, Fukushima, 960-1296, Japan</w:t>
      </w:r>
    </w:p>
    <w:p w14:paraId="0FD090ED" w14:textId="77777777" w:rsidR="002E0522" w:rsidRDefault="002E0522" w:rsidP="002E0522">
      <w:pPr>
        <w:spacing w:line="480" w:lineRule="auto"/>
        <w:rPr>
          <w:rFonts w:asciiTheme="minorHAnsi" w:hAnsiTheme="minorHAnsi" w:cstheme="minorHAnsi"/>
          <w:b/>
          <w:i/>
          <w:iCs/>
          <w:color w:val="000000" w:themeColor="text1"/>
          <w:sz w:val="20"/>
          <w:szCs w:val="20"/>
        </w:rPr>
      </w:pPr>
      <w:r w:rsidRPr="002E0522">
        <w:rPr>
          <w:rFonts w:asciiTheme="minorHAnsi" w:hAnsiTheme="minorHAnsi" w:cstheme="minorHAnsi"/>
          <w:b/>
          <w:i/>
          <w:iCs/>
          <w:color w:val="000000" w:themeColor="text1"/>
          <w:sz w:val="20"/>
          <w:szCs w:val="20"/>
        </w:rPr>
        <w:t xml:space="preserve">              </w:t>
      </w:r>
    </w:p>
    <w:p w14:paraId="5E837C1A" w14:textId="4F548028" w:rsidR="002E0522" w:rsidRPr="002E0522" w:rsidRDefault="002E0522" w:rsidP="002E0522">
      <w:pPr>
        <w:spacing w:line="480" w:lineRule="auto"/>
        <w:jc w:val="center"/>
        <w:rPr>
          <w:rFonts w:asciiTheme="minorHAnsi" w:hAnsiTheme="minorHAnsi" w:cstheme="minorHAnsi"/>
          <w:i/>
          <w:iCs/>
          <w:sz w:val="20"/>
          <w:szCs w:val="20"/>
        </w:rPr>
      </w:pPr>
      <w:r w:rsidRPr="002E0522">
        <w:rPr>
          <w:rFonts w:asciiTheme="minorHAnsi" w:hAnsiTheme="minorHAnsi" w:cstheme="minorHAnsi"/>
          <w:b/>
          <w:i/>
          <w:iCs/>
          <w:color w:val="000000" w:themeColor="text1"/>
          <w:sz w:val="20"/>
          <w:szCs w:val="20"/>
        </w:rPr>
        <w:t>e</w:t>
      </w:r>
      <w:r w:rsidRPr="002E0522">
        <w:rPr>
          <w:rFonts w:asciiTheme="minorHAnsi" w:hAnsiTheme="minorHAnsi" w:cstheme="minorHAnsi"/>
          <w:b/>
          <w:i/>
          <w:iCs/>
          <w:color w:val="000000" w:themeColor="text1"/>
          <w:sz w:val="20"/>
          <w:szCs w:val="20"/>
        </w:rPr>
        <w:t>-mail</w:t>
      </w:r>
      <w:r w:rsidRPr="002E0522">
        <w:rPr>
          <w:rFonts w:asciiTheme="minorHAnsi" w:hAnsiTheme="minorHAnsi" w:cstheme="minorHAnsi"/>
          <w:i/>
          <w:iCs/>
          <w:color w:val="000000" w:themeColor="text1"/>
          <w:sz w:val="20"/>
          <w:szCs w:val="20"/>
        </w:rPr>
        <w:t xml:space="preserve">: </w:t>
      </w:r>
      <w:hyperlink r:id="rId6" w:history="1">
        <w:r w:rsidRPr="002E0522">
          <w:rPr>
            <w:rStyle w:val="Hyperlink"/>
            <w:rFonts w:asciiTheme="minorHAnsi" w:hAnsiTheme="minorHAnsi" w:cstheme="minorHAnsi"/>
            <w:i/>
            <w:iCs/>
            <w:sz w:val="20"/>
            <w:szCs w:val="20"/>
          </w:rPr>
          <w:t>chandrasekarana@ssn.edu.in</w:t>
        </w:r>
      </w:hyperlink>
      <w:r w:rsidRPr="002E0522">
        <w:rPr>
          <w:rFonts w:asciiTheme="minorHAnsi" w:hAnsiTheme="minorHAnsi" w:cstheme="minorHAnsi"/>
          <w:i/>
          <w:iCs/>
          <w:color w:val="000000" w:themeColor="text1"/>
          <w:sz w:val="20"/>
          <w:szCs w:val="20"/>
        </w:rPr>
        <w:t xml:space="preserve">; </w:t>
      </w:r>
      <w:r w:rsidRPr="002E0522">
        <w:rPr>
          <w:rFonts w:asciiTheme="minorHAnsi" w:hAnsiTheme="minorHAnsi" w:cstheme="minorHAnsi"/>
          <w:i/>
          <w:iCs/>
          <w:sz w:val="20"/>
          <w:szCs w:val="20"/>
        </w:rPr>
        <w:t xml:space="preserve"> </w:t>
      </w:r>
      <w:hyperlink r:id="rId7" w:history="1">
        <w:r w:rsidRPr="002E0522">
          <w:rPr>
            <w:rStyle w:val="Hyperlink"/>
            <w:rFonts w:asciiTheme="minorHAnsi" w:hAnsiTheme="minorHAnsi" w:cstheme="minorHAnsi"/>
            <w:i/>
            <w:iCs/>
            <w:sz w:val="20"/>
            <w:szCs w:val="20"/>
          </w:rPr>
          <w:t>immrahman@ipc.fukushima-u.ac.jp</w:t>
        </w:r>
      </w:hyperlink>
    </w:p>
    <w:p w14:paraId="38186024" w14:textId="77777777" w:rsidR="002E0522" w:rsidRDefault="002E0522" w:rsidP="00A1200F">
      <w:pPr>
        <w:ind w:firstLine="0"/>
        <w:rPr>
          <w:rFonts w:asciiTheme="minorHAnsi" w:hAnsiTheme="minorHAnsi" w:cstheme="minorHAnsi"/>
          <w:sz w:val="22"/>
          <w:lang w:val="en-GB"/>
        </w:rPr>
      </w:pPr>
    </w:p>
    <w:p w14:paraId="1A2D06B8" w14:textId="44138EAF" w:rsidR="002E0522" w:rsidRPr="002E0522" w:rsidRDefault="002E0522" w:rsidP="002E0522">
      <w:pPr>
        <w:ind w:firstLine="720"/>
        <w:rPr>
          <w:rFonts w:asciiTheme="minorHAnsi" w:hAnsiTheme="minorHAnsi" w:cstheme="minorHAnsi"/>
          <w:sz w:val="22"/>
          <w:szCs w:val="22"/>
        </w:rPr>
      </w:pPr>
      <w:r w:rsidRPr="002E0522">
        <w:rPr>
          <w:rFonts w:asciiTheme="minorHAnsi" w:hAnsiTheme="minorHAnsi" w:cstheme="minorHAnsi"/>
          <w:sz w:val="22"/>
          <w:szCs w:val="22"/>
        </w:rPr>
        <w:t xml:space="preserve">Gamma ray spectrometry with </w:t>
      </w:r>
      <w:proofErr w:type="gramStart"/>
      <w:r w:rsidRPr="002E0522">
        <w:rPr>
          <w:rFonts w:asciiTheme="minorHAnsi" w:hAnsiTheme="minorHAnsi" w:cstheme="minorHAnsi"/>
          <w:sz w:val="22"/>
          <w:szCs w:val="22"/>
        </w:rPr>
        <w:t>NaI(</w:t>
      </w:r>
      <w:proofErr w:type="gramEnd"/>
      <w:r w:rsidRPr="002E0522">
        <w:rPr>
          <w:rFonts w:asciiTheme="minorHAnsi" w:hAnsiTheme="minorHAnsi" w:cstheme="minorHAnsi"/>
          <w:sz w:val="22"/>
          <w:szCs w:val="22"/>
        </w:rPr>
        <w:t xml:space="preserve">Tl) detector was employed to determine the activity concentration of </w:t>
      </w:r>
      <w:r w:rsidRPr="003A41C9">
        <w:rPr>
          <w:rFonts w:asciiTheme="minorHAnsi" w:hAnsiTheme="minorHAnsi" w:cstheme="minorHAnsi"/>
          <w:sz w:val="22"/>
          <w:szCs w:val="22"/>
          <w:vertAlign w:val="superscript"/>
        </w:rPr>
        <w:t>226</w:t>
      </w:r>
      <w:r w:rsidRPr="002E0522">
        <w:rPr>
          <w:rFonts w:asciiTheme="minorHAnsi" w:hAnsiTheme="minorHAnsi" w:cstheme="minorHAnsi"/>
          <w:sz w:val="22"/>
          <w:szCs w:val="22"/>
        </w:rPr>
        <w:t xml:space="preserve">Ra, </w:t>
      </w:r>
      <w:r w:rsidRPr="003A41C9">
        <w:rPr>
          <w:rFonts w:asciiTheme="minorHAnsi" w:hAnsiTheme="minorHAnsi" w:cstheme="minorHAnsi"/>
          <w:sz w:val="22"/>
          <w:szCs w:val="22"/>
          <w:vertAlign w:val="superscript"/>
        </w:rPr>
        <w:t>232</w:t>
      </w:r>
      <w:r w:rsidRPr="002E0522">
        <w:rPr>
          <w:rFonts w:asciiTheme="minorHAnsi" w:hAnsiTheme="minorHAnsi" w:cstheme="minorHAnsi"/>
          <w:sz w:val="22"/>
          <w:szCs w:val="22"/>
        </w:rPr>
        <w:t xml:space="preserve">Th and </w:t>
      </w:r>
      <w:r w:rsidRPr="003A41C9">
        <w:rPr>
          <w:rFonts w:asciiTheme="minorHAnsi" w:hAnsiTheme="minorHAnsi" w:cstheme="minorHAnsi"/>
          <w:sz w:val="22"/>
          <w:szCs w:val="22"/>
          <w:vertAlign w:val="superscript"/>
        </w:rPr>
        <w:t>40</w:t>
      </w:r>
      <w:r w:rsidRPr="002E0522">
        <w:rPr>
          <w:rFonts w:asciiTheme="minorHAnsi" w:hAnsiTheme="minorHAnsi" w:cstheme="minorHAnsi"/>
          <w:sz w:val="22"/>
          <w:szCs w:val="22"/>
        </w:rPr>
        <w:t>K in vitrified tiles which has been used as modern building materials in Tamil Nadu. It is found that, 68 ± 5 Bq kg</w:t>
      </w:r>
      <w:r w:rsidRPr="003A41C9">
        <w:rPr>
          <w:rFonts w:asciiTheme="minorHAnsi" w:hAnsiTheme="minorHAnsi" w:cstheme="minorHAnsi"/>
          <w:sz w:val="22"/>
          <w:szCs w:val="22"/>
          <w:vertAlign w:val="superscript"/>
        </w:rPr>
        <w:t>-1</w:t>
      </w:r>
      <w:r w:rsidRPr="002E0522">
        <w:rPr>
          <w:rFonts w:asciiTheme="minorHAnsi" w:hAnsiTheme="minorHAnsi" w:cstheme="minorHAnsi"/>
          <w:sz w:val="22"/>
          <w:szCs w:val="22"/>
        </w:rPr>
        <w:t xml:space="preserve">is a mean value for </w:t>
      </w:r>
      <w:r w:rsidRPr="003A41C9">
        <w:rPr>
          <w:rFonts w:asciiTheme="minorHAnsi" w:hAnsiTheme="minorHAnsi" w:cstheme="minorHAnsi"/>
          <w:sz w:val="22"/>
          <w:szCs w:val="22"/>
          <w:vertAlign w:val="superscript"/>
        </w:rPr>
        <w:t>226</w:t>
      </w:r>
      <w:r w:rsidRPr="002E0522">
        <w:rPr>
          <w:rFonts w:asciiTheme="minorHAnsi" w:hAnsiTheme="minorHAnsi" w:cstheme="minorHAnsi"/>
          <w:sz w:val="22"/>
          <w:szCs w:val="22"/>
        </w:rPr>
        <w:t>Ra, 116 ± 8 Bq kg</w:t>
      </w:r>
      <w:r w:rsidRPr="003A41C9">
        <w:rPr>
          <w:rFonts w:asciiTheme="minorHAnsi" w:hAnsiTheme="minorHAnsi" w:cstheme="minorHAnsi"/>
          <w:sz w:val="22"/>
          <w:szCs w:val="22"/>
          <w:vertAlign w:val="superscript"/>
        </w:rPr>
        <w:t>−</w:t>
      </w:r>
      <w:proofErr w:type="gramStart"/>
      <w:r w:rsidRPr="003A41C9">
        <w:rPr>
          <w:rFonts w:asciiTheme="minorHAnsi" w:hAnsiTheme="minorHAnsi" w:cstheme="minorHAnsi"/>
          <w:sz w:val="22"/>
          <w:szCs w:val="22"/>
          <w:vertAlign w:val="superscript"/>
        </w:rPr>
        <w:t>1</w:t>
      </w:r>
      <w:r w:rsidRPr="002E0522">
        <w:rPr>
          <w:rFonts w:asciiTheme="minorHAnsi" w:hAnsiTheme="minorHAnsi" w:cstheme="minorHAnsi"/>
          <w:sz w:val="22"/>
          <w:szCs w:val="22"/>
        </w:rPr>
        <w:t xml:space="preserve">  for</w:t>
      </w:r>
      <w:proofErr w:type="gramEnd"/>
      <w:r w:rsidRPr="002E0522">
        <w:rPr>
          <w:rFonts w:asciiTheme="minorHAnsi" w:hAnsiTheme="minorHAnsi" w:cstheme="minorHAnsi"/>
          <w:sz w:val="22"/>
          <w:szCs w:val="22"/>
        </w:rPr>
        <w:t xml:space="preserve"> </w:t>
      </w:r>
      <w:r w:rsidRPr="003A41C9">
        <w:rPr>
          <w:rFonts w:asciiTheme="minorHAnsi" w:hAnsiTheme="minorHAnsi" w:cstheme="minorHAnsi"/>
          <w:sz w:val="22"/>
          <w:szCs w:val="22"/>
          <w:vertAlign w:val="superscript"/>
        </w:rPr>
        <w:t>232</w:t>
      </w:r>
      <w:r w:rsidRPr="002E0522">
        <w:rPr>
          <w:rFonts w:asciiTheme="minorHAnsi" w:hAnsiTheme="minorHAnsi" w:cstheme="minorHAnsi"/>
          <w:sz w:val="22"/>
          <w:szCs w:val="22"/>
        </w:rPr>
        <w:t>Th,  540 ± 40 Bq kg</w:t>
      </w:r>
      <w:r w:rsidRPr="003A41C9">
        <w:rPr>
          <w:rFonts w:asciiTheme="minorHAnsi" w:hAnsiTheme="minorHAnsi" w:cstheme="minorHAnsi"/>
          <w:sz w:val="22"/>
          <w:szCs w:val="22"/>
          <w:vertAlign w:val="superscript"/>
        </w:rPr>
        <w:t>−1</w:t>
      </w:r>
      <w:r w:rsidRPr="002E0522">
        <w:rPr>
          <w:rFonts w:asciiTheme="minorHAnsi" w:hAnsiTheme="minorHAnsi" w:cstheme="minorHAnsi"/>
          <w:sz w:val="22"/>
          <w:szCs w:val="22"/>
        </w:rPr>
        <w:t xml:space="preserve">for </w:t>
      </w:r>
      <w:r w:rsidRPr="003A41C9">
        <w:rPr>
          <w:rFonts w:asciiTheme="minorHAnsi" w:hAnsiTheme="minorHAnsi" w:cstheme="minorHAnsi"/>
          <w:sz w:val="22"/>
          <w:szCs w:val="22"/>
          <w:vertAlign w:val="superscript"/>
        </w:rPr>
        <w:t>40</w:t>
      </w:r>
      <w:r w:rsidRPr="002E0522">
        <w:rPr>
          <w:rFonts w:asciiTheme="minorHAnsi" w:hAnsiTheme="minorHAnsi" w:cstheme="minorHAnsi"/>
          <w:sz w:val="22"/>
          <w:szCs w:val="22"/>
        </w:rPr>
        <w:t>K and these mean values are greater than the world average value of 50, 50, 500 respectively as suggested by UNSCEAR 1993. This leads the average indoor gamma absorbed dose rate (84 nGyh</w:t>
      </w:r>
      <w:r w:rsidRPr="002E0522">
        <w:rPr>
          <w:rFonts w:asciiTheme="minorHAnsi" w:hAnsiTheme="minorHAnsi" w:cstheme="minorHAnsi"/>
          <w:sz w:val="22"/>
          <w:szCs w:val="22"/>
          <w:vertAlign w:val="superscript"/>
        </w:rPr>
        <w:t>–1</w:t>
      </w:r>
      <w:r w:rsidRPr="002E0522">
        <w:rPr>
          <w:rFonts w:asciiTheme="minorHAnsi" w:hAnsiTheme="minorHAnsi" w:cstheme="minorHAnsi"/>
          <w:sz w:val="22"/>
          <w:szCs w:val="22"/>
        </w:rPr>
        <w:t xml:space="preserve">) and excess lifetime cancer risk </w:t>
      </w:r>
      <w:r w:rsidRPr="003A41C9">
        <w:rPr>
          <w:rFonts w:asciiTheme="minorHAnsi" w:hAnsiTheme="minorHAnsi" w:cstheme="minorHAnsi"/>
          <w:sz w:val="22"/>
          <w:szCs w:val="22"/>
        </w:rPr>
        <w:t>(</w:t>
      </w:r>
      <w:r w:rsidRPr="003A41C9">
        <w:rPr>
          <w:rFonts w:asciiTheme="minorHAnsi" w:hAnsiTheme="minorHAnsi" w:cstheme="minorHAnsi"/>
          <w:color w:val="000000"/>
          <w:sz w:val="22"/>
          <w:szCs w:val="22"/>
        </w:rPr>
        <w:t>2.13×10</w:t>
      </w:r>
      <w:r w:rsidRPr="003A41C9">
        <w:rPr>
          <w:rFonts w:asciiTheme="minorHAnsi" w:hAnsiTheme="minorHAnsi" w:cstheme="minorHAnsi"/>
          <w:color w:val="000000"/>
          <w:sz w:val="22"/>
          <w:szCs w:val="22"/>
          <w:vertAlign w:val="superscript"/>
        </w:rPr>
        <w:t>−3</w:t>
      </w:r>
      <w:r w:rsidRPr="003A41C9">
        <w:rPr>
          <w:rFonts w:asciiTheme="minorHAnsi" w:hAnsiTheme="minorHAnsi" w:cstheme="minorHAnsi"/>
          <w:sz w:val="22"/>
          <w:szCs w:val="22"/>
        </w:rPr>
        <w:t xml:space="preserve"> mSv y</w:t>
      </w:r>
      <w:r w:rsidRPr="003A41C9">
        <w:rPr>
          <w:rFonts w:asciiTheme="minorHAnsi" w:hAnsiTheme="minorHAnsi" w:cstheme="minorHAnsi"/>
          <w:sz w:val="22"/>
          <w:szCs w:val="22"/>
          <w:vertAlign w:val="superscript"/>
        </w:rPr>
        <w:t>-1</w:t>
      </w:r>
      <w:r w:rsidRPr="003A41C9">
        <w:rPr>
          <w:rFonts w:asciiTheme="minorHAnsi" w:hAnsiTheme="minorHAnsi" w:cstheme="minorHAnsi"/>
          <w:sz w:val="22"/>
          <w:szCs w:val="22"/>
        </w:rPr>
        <w:t>)</w:t>
      </w:r>
      <w:r w:rsidRPr="002E0522">
        <w:rPr>
          <w:rFonts w:asciiTheme="minorHAnsi" w:hAnsiTheme="minorHAnsi" w:cstheme="minorHAnsi"/>
          <w:sz w:val="22"/>
          <w:szCs w:val="22"/>
        </w:rPr>
        <w:t xml:space="preserve"> slightly greater than the world average value proposed by UNSCEAR 2000. This implied that, regular attention is necessary to use as building materials. </w:t>
      </w:r>
      <w:proofErr w:type="gramStart"/>
      <w:r w:rsidRPr="002E0522">
        <w:rPr>
          <w:rFonts w:asciiTheme="minorHAnsi" w:hAnsiTheme="minorHAnsi" w:cstheme="minorHAnsi"/>
          <w:sz w:val="22"/>
          <w:szCs w:val="22"/>
        </w:rPr>
        <w:t>In order to</w:t>
      </w:r>
      <w:proofErr w:type="gramEnd"/>
      <w:r w:rsidRPr="002E0522">
        <w:rPr>
          <w:rFonts w:asciiTheme="minorHAnsi" w:hAnsiTheme="minorHAnsi" w:cstheme="minorHAnsi"/>
          <w:sz w:val="22"/>
          <w:szCs w:val="22"/>
        </w:rPr>
        <w:t xml:space="preserve"> assess the distribution pattern of radionuclides in tiles, multivariate statical analysis was performed and it reveals no health hazards due to presence of </w:t>
      </w:r>
      <w:r w:rsidRPr="003A41C9">
        <w:rPr>
          <w:rFonts w:asciiTheme="minorHAnsi" w:hAnsiTheme="minorHAnsi" w:cstheme="minorHAnsi"/>
          <w:sz w:val="22"/>
          <w:szCs w:val="22"/>
          <w:vertAlign w:val="superscript"/>
        </w:rPr>
        <w:t>40</w:t>
      </w:r>
      <w:r w:rsidRPr="002E0522">
        <w:rPr>
          <w:rFonts w:asciiTheme="minorHAnsi" w:hAnsiTheme="minorHAnsi" w:cstheme="minorHAnsi"/>
          <w:sz w:val="22"/>
          <w:szCs w:val="22"/>
        </w:rPr>
        <w:t>K.</w:t>
      </w:r>
    </w:p>
    <w:p w14:paraId="0E0AAAE9" w14:textId="4C6778D1" w:rsidR="00A1200F" w:rsidRPr="002E0522" w:rsidRDefault="002E0522" w:rsidP="002E0522">
      <w:pPr>
        <w:ind w:firstLine="0"/>
        <w:rPr>
          <w:rFonts w:asciiTheme="minorHAnsi" w:hAnsiTheme="minorHAnsi" w:cstheme="minorHAnsi"/>
          <w:sz w:val="22"/>
          <w:szCs w:val="22"/>
          <w:lang w:val="en-GB"/>
        </w:rPr>
      </w:pPr>
      <w:r w:rsidRPr="002E0522">
        <w:rPr>
          <w:rFonts w:asciiTheme="minorHAnsi" w:hAnsiTheme="minorHAnsi" w:cstheme="minorHAnsi"/>
          <w:b/>
          <w:bCs/>
          <w:sz w:val="22"/>
          <w:szCs w:val="22"/>
        </w:rPr>
        <w:t>Keywords:</w:t>
      </w:r>
      <w:r w:rsidRPr="002E0522">
        <w:rPr>
          <w:rFonts w:asciiTheme="minorHAnsi" w:hAnsiTheme="minorHAnsi" w:cstheme="minorHAnsi"/>
          <w:sz w:val="22"/>
          <w:szCs w:val="22"/>
        </w:rPr>
        <w:t xml:space="preserve"> Vitrified tiles, Gamma ray spectrometry, radiological hazards, statistical analysis</w:t>
      </w:r>
      <w:r w:rsidR="00A1200F" w:rsidRPr="002E0522">
        <w:rPr>
          <w:rFonts w:asciiTheme="minorHAnsi" w:hAnsiTheme="minorHAnsi" w:cstheme="minorHAnsi"/>
          <w:sz w:val="22"/>
          <w:szCs w:val="22"/>
          <w:lang w:val="en-GB"/>
        </w:rPr>
        <w:t>.</w:t>
      </w:r>
    </w:p>
    <w:sectPr w:rsidR="00A1200F" w:rsidRPr="002E0522"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7A6E" w14:textId="77777777" w:rsidR="00093BB4" w:rsidRDefault="00093BB4" w:rsidP="007908D5">
      <w:r>
        <w:separator/>
      </w:r>
    </w:p>
  </w:endnote>
  <w:endnote w:type="continuationSeparator" w:id="0">
    <w:p w14:paraId="694E4BE7" w14:textId="77777777" w:rsidR="00093BB4" w:rsidRDefault="00093BB4"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18B9" w14:textId="77777777" w:rsidR="00093BB4" w:rsidRDefault="00093BB4" w:rsidP="007908D5">
      <w:r>
        <w:separator/>
      </w:r>
    </w:p>
  </w:footnote>
  <w:footnote w:type="continuationSeparator" w:id="0">
    <w:p w14:paraId="4358956B" w14:textId="77777777" w:rsidR="00093BB4" w:rsidRDefault="00093BB4"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93BB4"/>
    <w:rsid w:val="000A60D3"/>
    <w:rsid w:val="000B320E"/>
    <w:rsid w:val="000D7C41"/>
    <w:rsid w:val="002E0522"/>
    <w:rsid w:val="003A41C9"/>
    <w:rsid w:val="004C60EC"/>
    <w:rsid w:val="004E2C7A"/>
    <w:rsid w:val="00502CF7"/>
    <w:rsid w:val="007908D5"/>
    <w:rsid w:val="00793CE7"/>
    <w:rsid w:val="00A1200F"/>
    <w:rsid w:val="00A14BEA"/>
    <w:rsid w:val="00AF5AC0"/>
    <w:rsid w:val="00C310AF"/>
    <w:rsid w:val="00CB2FBD"/>
    <w:rsid w:val="00F2466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CF7"/>
    <w:rPr>
      <w:color w:val="0563C1"/>
      <w:u w:val="single"/>
    </w:rPr>
  </w:style>
  <w:style w:type="paragraph" w:styleId="Header">
    <w:name w:val="header"/>
    <w:basedOn w:val="Normal"/>
    <w:link w:val="HeaderChar"/>
    <w:uiPriority w:val="99"/>
    <w:unhideWhenUsed/>
    <w:rsid w:val="007908D5"/>
    <w:pPr>
      <w:tabs>
        <w:tab w:val="center" w:pos="4536"/>
        <w:tab w:val="right" w:pos="9072"/>
      </w:tabs>
    </w:pPr>
  </w:style>
  <w:style w:type="character" w:customStyle="1" w:styleId="HeaderChar">
    <w:name w:val="Header Char"/>
    <w:basedOn w:val="DefaultParagraphFont"/>
    <w:link w:val="Header"/>
    <w:uiPriority w:val="99"/>
    <w:rsid w:val="007908D5"/>
    <w:rPr>
      <w:rFonts w:ascii="Times New Roman" w:eastAsia="MS Mincho" w:hAnsi="Times New Roman" w:cs="Times New Roman"/>
      <w:kern w:val="2"/>
      <w:sz w:val="24"/>
      <w:szCs w:val="24"/>
      <w:lang w:val="en-US" w:eastAsia="ja-JP"/>
      <w14:ligatures w14:val="none"/>
    </w:rPr>
  </w:style>
  <w:style w:type="paragraph" w:styleId="Footer">
    <w:name w:val="footer"/>
    <w:basedOn w:val="Normal"/>
    <w:link w:val="FooterChar"/>
    <w:uiPriority w:val="99"/>
    <w:unhideWhenUsed/>
    <w:rsid w:val="007908D5"/>
    <w:pPr>
      <w:tabs>
        <w:tab w:val="center" w:pos="4536"/>
        <w:tab w:val="right" w:pos="9072"/>
      </w:tabs>
    </w:pPr>
  </w:style>
  <w:style w:type="character" w:customStyle="1" w:styleId="FooterChar">
    <w:name w:val="Footer Char"/>
    <w:basedOn w:val="DefaultParagraphFont"/>
    <w:link w:val="Footer"/>
    <w:uiPriority w:val="99"/>
    <w:rsid w:val="007908D5"/>
    <w:rPr>
      <w:rFonts w:ascii="Times New Roman" w:eastAsia="MS Mincho" w:hAnsi="Times New Roman" w:cs="Times New Roman"/>
      <w:kern w:val="2"/>
      <w:sz w:val="24"/>
      <w:szCs w:val="24"/>
      <w:lang w:val="en-US" w:eastAsia="ja-JP"/>
      <w14:ligatures w14:val="none"/>
    </w:rPr>
  </w:style>
  <w:style w:type="paragraph" w:styleId="NoSpacing">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UnresolvedMention">
    <w:name w:val="Unresolved Mention"/>
    <w:basedOn w:val="DefaultParagraphFont"/>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mmrahman@ipc.fukushima-u.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ndrasekarana@ssn.edu.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1216</TotalTime>
  <Pages>1</Pages>
  <Words>239</Words>
  <Characters>1368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Chandrasekaran Anatha Narayanan</cp:lastModifiedBy>
  <cp:revision>10</cp:revision>
  <cp:lastPrinted>2024-12-12T14:03:00Z</cp:lastPrinted>
  <dcterms:created xsi:type="dcterms:W3CDTF">2024-12-10T12:09:00Z</dcterms:created>
  <dcterms:modified xsi:type="dcterms:W3CDTF">2025-02-18T06:11:00Z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